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AD504" w14:textId="77777777" w:rsidR="00B62A64" w:rsidRPr="00E2214C" w:rsidRDefault="00B62A64" w:rsidP="00B62A64">
      <w:pPr>
        <w:widowControl w:val="0"/>
        <w:autoSpaceDE w:val="0"/>
        <w:autoSpaceDN w:val="0"/>
        <w:adjustRightInd w:val="0"/>
        <w:spacing w:after="0" w:line="240" w:lineRule="auto"/>
        <w:rPr>
          <w:rFonts w:ascii="Times New Roman" w:eastAsia="Times New Roman" w:hAnsi="Times New Roman" w:cs="Times New Roman"/>
          <w:sz w:val="24"/>
          <w:szCs w:val="24"/>
        </w:rPr>
      </w:pPr>
    </w:p>
    <w:p w14:paraId="5E7AD6FD" w14:textId="6F5F8068" w:rsidR="00B62A64" w:rsidRPr="00E2214C" w:rsidRDefault="00B62A64" w:rsidP="00B62A64">
      <w:pPr>
        <w:widowControl w:val="0"/>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w:t>
      </w:r>
      <w:r w:rsidR="009759C7" w:rsidRPr="00E2214C">
        <w:rPr>
          <w:rFonts w:ascii="Times New Roman" w:eastAsia="Times New Roman" w:hAnsi="Times New Roman" w:cs="Times New Roman"/>
          <w:sz w:val="24"/>
          <w:szCs w:val="24"/>
        </w:rPr>
        <w:t>ection</w:t>
      </w:r>
      <w:r w:rsidRPr="00E2214C">
        <w:rPr>
          <w:rFonts w:ascii="Times New Roman" w:eastAsia="Times New Roman" w:hAnsi="Times New Roman" w:cs="Times New Roman"/>
          <w:sz w:val="24"/>
          <w:szCs w:val="24"/>
        </w:rPr>
        <w:t>1. Introduction</w:t>
      </w:r>
    </w:p>
    <w:p w14:paraId="29968E44" w14:textId="77777777" w:rsidR="00B62A64" w:rsidRPr="00E2214C" w:rsidRDefault="00B62A64" w:rsidP="00B62A64">
      <w:pPr>
        <w:widowControl w:val="0"/>
        <w:autoSpaceDE w:val="0"/>
        <w:autoSpaceDN w:val="0"/>
        <w:adjustRightInd w:val="0"/>
        <w:spacing w:after="0" w:line="240" w:lineRule="auto"/>
        <w:rPr>
          <w:rFonts w:ascii="Times New Roman" w:eastAsia="Times New Roman" w:hAnsi="Times New Roman" w:cs="Times New Roman"/>
          <w:sz w:val="24"/>
          <w:szCs w:val="24"/>
        </w:rPr>
      </w:pPr>
    </w:p>
    <w:p w14:paraId="53841636" w14:textId="40F540EC" w:rsidR="00B62A64" w:rsidRPr="00E2214C" w:rsidRDefault="00B16DC3" w:rsidP="00B62A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This document is intended to provide guidelines for making recommendations regarding promotion and/or tenure of faculty in the Department of Construction Management and Engineering</w:t>
      </w:r>
      <w:r w:rsidR="00563C40" w:rsidRPr="00E2214C">
        <w:rPr>
          <w:rFonts w:ascii="Times New Roman" w:eastAsia="Times New Roman" w:hAnsi="Times New Roman" w:cs="Times New Roman"/>
          <w:sz w:val="24"/>
          <w:szCs w:val="24"/>
        </w:rPr>
        <w:t xml:space="preserve"> </w:t>
      </w:r>
      <w:r w:rsidRPr="00E2214C">
        <w:rPr>
          <w:rFonts w:ascii="Times New Roman" w:eastAsia="Times New Roman" w:hAnsi="Times New Roman" w:cs="Times New Roman"/>
          <w:sz w:val="24"/>
          <w:szCs w:val="24"/>
        </w:rPr>
        <w:t xml:space="preserve">in accordance with broader Promotion, Tenure and Evaluation Policies (Section 352 of the </w:t>
      </w:r>
      <w:r w:rsidR="00563C40" w:rsidRPr="00E2214C">
        <w:rPr>
          <w:rFonts w:ascii="Times New Roman" w:eastAsia="Times New Roman" w:hAnsi="Times New Roman" w:cs="Times New Roman"/>
          <w:sz w:val="24"/>
          <w:szCs w:val="24"/>
        </w:rPr>
        <w:t xml:space="preserve">North Dakota State </w:t>
      </w:r>
      <w:r w:rsidRPr="00E2214C">
        <w:rPr>
          <w:rFonts w:ascii="Times New Roman" w:eastAsia="Times New Roman" w:hAnsi="Times New Roman" w:cs="Times New Roman"/>
          <w:sz w:val="24"/>
          <w:szCs w:val="24"/>
        </w:rPr>
        <w:t>University and the North Dakota State Board of Higher Education Policies). These guidelines identify specific factors that apply to the evaluation of faculty members in the Department of Construction Management and Engineering</w:t>
      </w:r>
      <w:r w:rsidR="00B62A64" w:rsidRPr="00E2214C">
        <w:rPr>
          <w:rFonts w:ascii="Times New Roman" w:eastAsia="Times New Roman" w:hAnsi="Times New Roman" w:cs="Times New Roman"/>
          <w:sz w:val="24"/>
          <w:szCs w:val="24"/>
        </w:rPr>
        <w:t>.</w:t>
      </w:r>
    </w:p>
    <w:p w14:paraId="0D54FB13" w14:textId="77777777" w:rsidR="00B62A64" w:rsidRPr="00E2214C" w:rsidRDefault="00B62A64" w:rsidP="00B62A64">
      <w:pPr>
        <w:widowControl w:val="0"/>
        <w:autoSpaceDE w:val="0"/>
        <w:autoSpaceDN w:val="0"/>
        <w:adjustRightInd w:val="0"/>
        <w:spacing w:after="0" w:line="240" w:lineRule="auto"/>
        <w:rPr>
          <w:rFonts w:ascii="Times New Roman" w:eastAsia="Times New Roman" w:hAnsi="Times New Roman" w:cs="Times New Roman"/>
          <w:sz w:val="24"/>
          <w:szCs w:val="24"/>
        </w:rPr>
      </w:pPr>
    </w:p>
    <w:p w14:paraId="1030B922" w14:textId="0699CBCF" w:rsidR="00B62A64" w:rsidRPr="00E2214C" w:rsidRDefault="00B62A64" w:rsidP="00B62A64">
      <w:pPr>
        <w:widowControl w:val="0"/>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Section 2. Mission of the </w:t>
      </w:r>
      <w:r w:rsidR="00B16DC3" w:rsidRPr="00E2214C">
        <w:rPr>
          <w:rFonts w:ascii="Times New Roman" w:eastAsia="Times New Roman" w:hAnsi="Times New Roman" w:cs="Times New Roman"/>
          <w:sz w:val="24"/>
          <w:szCs w:val="24"/>
        </w:rPr>
        <w:t>Construction Management and Engineering Department</w:t>
      </w:r>
    </w:p>
    <w:p w14:paraId="383B0DCA" w14:textId="77777777" w:rsidR="00B62A64" w:rsidRPr="00E2214C" w:rsidRDefault="00B62A64" w:rsidP="00B62A64">
      <w:pPr>
        <w:widowControl w:val="0"/>
        <w:autoSpaceDE w:val="0"/>
        <w:autoSpaceDN w:val="0"/>
        <w:adjustRightInd w:val="0"/>
        <w:spacing w:after="0" w:line="240" w:lineRule="auto"/>
        <w:rPr>
          <w:rFonts w:ascii="Times New Roman" w:eastAsia="Times New Roman" w:hAnsi="Times New Roman" w:cs="Times New Roman"/>
          <w:sz w:val="24"/>
          <w:szCs w:val="24"/>
        </w:rPr>
      </w:pPr>
    </w:p>
    <w:p w14:paraId="4C8CE050" w14:textId="466685A4" w:rsidR="00B62A64" w:rsidRPr="00E2214C" w:rsidRDefault="00B16DC3" w:rsidP="00B62A6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The Department of Construction Management and Engineering will provide quality educational programs that prepare nationally competitive undergraduate and graduate students for successful careers in the construction engineering and management professions. </w:t>
      </w:r>
    </w:p>
    <w:p w14:paraId="53864669" w14:textId="77777777" w:rsidR="00B62A64" w:rsidRPr="00E2214C" w:rsidRDefault="00B62A64" w:rsidP="00B62A64">
      <w:pPr>
        <w:widowControl w:val="0"/>
        <w:autoSpaceDE w:val="0"/>
        <w:autoSpaceDN w:val="0"/>
        <w:adjustRightInd w:val="0"/>
        <w:spacing w:after="0" w:line="240" w:lineRule="auto"/>
        <w:rPr>
          <w:rFonts w:ascii="Times New Roman" w:eastAsia="Times New Roman" w:hAnsi="Times New Roman" w:cs="Times New Roman"/>
          <w:sz w:val="24"/>
          <w:szCs w:val="24"/>
        </w:rPr>
      </w:pPr>
    </w:p>
    <w:p w14:paraId="614812D1" w14:textId="649FD5EB" w:rsidR="007A1981" w:rsidRPr="00E2214C" w:rsidRDefault="007A1981" w:rsidP="007A1981">
      <w:pPr>
        <w:widowControl w:val="0"/>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Section 3. </w:t>
      </w:r>
      <w:r w:rsidR="00B16DC3" w:rsidRPr="00E2214C">
        <w:rPr>
          <w:rFonts w:ascii="Times New Roman" w:eastAsia="Times New Roman" w:hAnsi="Times New Roman" w:cs="Times New Roman"/>
          <w:sz w:val="24"/>
          <w:szCs w:val="24"/>
        </w:rPr>
        <w:t>General</w:t>
      </w:r>
      <w:r w:rsidRPr="00E2214C">
        <w:rPr>
          <w:rFonts w:ascii="Times New Roman" w:eastAsia="Times New Roman" w:hAnsi="Times New Roman" w:cs="Times New Roman"/>
          <w:sz w:val="24"/>
          <w:szCs w:val="24"/>
        </w:rPr>
        <w:t xml:space="preserve"> </w:t>
      </w:r>
      <w:r w:rsidR="00B16DC3" w:rsidRPr="00E2214C">
        <w:rPr>
          <w:rFonts w:ascii="Times New Roman" w:eastAsia="Times New Roman" w:hAnsi="Times New Roman" w:cs="Times New Roman"/>
          <w:sz w:val="24"/>
          <w:szCs w:val="24"/>
        </w:rPr>
        <w:t>Expectations</w:t>
      </w:r>
    </w:p>
    <w:p w14:paraId="33ADAC84" w14:textId="77777777" w:rsidR="007A1981" w:rsidRPr="00E2214C" w:rsidRDefault="007A1981" w:rsidP="00B16DC3">
      <w:pPr>
        <w:widowControl w:val="0"/>
        <w:tabs>
          <w:tab w:val="left" w:pos="990"/>
        </w:tabs>
        <w:autoSpaceDE w:val="0"/>
        <w:autoSpaceDN w:val="0"/>
        <w:adjustRightInd w:val="0"/>
        <w:spacing w:after="0" w:line="240" w:lineRule="auto"/>
        <w:rPr>
          <w:rFonts w:ascii="Times New Roman" w:hAnsi="Times New Roman" w:cs="Times New Roman"/>
          <w:sz w:val="24"/>
          <w:szCs w:val="24"/>
        </w:rPr>
      </w:pPr>
    </w:p>
    <w:p w14:paraId="2F4A5A2A" w14:textId="3166CF02" w:rsidR="00EE61BF" w:rsidRPr="00E2214C" w:rsidRDefault="00B16DC3" w:rsidP="00EE61BF">
      <w:pPr>
        <w:spacing w:after="0" w:line="240" w:lineRule="auto"/>
        <w:ind w:left="720"/>
        <w:rPr>
          <w:rFonts w:ascii="Times New Roman" w:hAnsi="Times New Roman" w:cs="Times New Roman"/>
          <w:sz w:val="24"/>
          <w:szCs w:val="24"/>
        </w:rPr>
      </w:pPr>
      <w:r w:rsidRPr="00E2214C">
        <w:rPr>
          <w:rFonts w:ascii="Times New Roman" w:hAnsi="Times New Roman" w:cs="Times New Roman"/>
          <w:sz w:val="24"/>
          <w:szCs w:val="24"/>
        </w:rPr>
        <w:t xml:space="preserve">University Policy </w:t>
      </w:r>
      <w:r w:rsidR="000707DD" w:rsidRPr="00E2214C">
        <w:rPr>
          <w:rFonts w:ascii="Times New Roman" w:hAnsi="Times New Roman" w:cs="Times New Roman"/>
          <w:sz w:val="24"/>
          <w:szCs w:val="24"/>
        </w:rPr>
        <w:t>352</w:t>
      </w:r>
      <w:r w:rsidR="001008D8" w:rsidRPr="00E2214C">
        <w:rPr>
          <w:rFonts w:ascii="Times New Roman" w:hAnsi="Times New Roman" w:cs="Times New Roman"/>
          <w:sz w:val="24"/>
          <w:szCs w:val="24"/>
        </w:rPr>
        <w:t xml:space="preserve"> </w:t>
      </w:r>
      <w:r w:rsidR="00825B19" w:rsidRPr="00E2214C">
        <w:rPr>
          <w:rFonts w:ascii="Times New Roman" w:hAnsi="Times New Roman" w:cs="Times New Roman"/>
          <w:sz w:val="24"/>
          <w:szCs w:val="24"/>
        </w:rPr>
        <w:t xml:space="preserve">stipulates </w:t>
      </w:r>
      <w:r w:rsidR="000707DD" w:rsidRPr="00E2214C">
        <w:rPr>
          <w:rFonts w:ascii="Times New Roman" w:hAnsi="Times New Roman" w:cs="Times New Roman"/>
          <w:sz w:val="24"/>
          <w:szCs w:val="24"/>
        </w:rPr>
        <w:t xml:space="preserve">three </w:t>
      </w:r>
      <w:r w:rsidR="005A3B02" w:rsidRPr="00E2214C">
        <w:rPr>
          <w:rFonts w:ascii="Times New Roman" w:hAnsi="Times New Roman" w:cs="Times New Roman"/>
          <w:sz w:val="24"/>
          <w:szCs w:val="24"/>
        </w:rPr>
        <w:t xml:space="preserve">different </w:t>
      </w:r>
      <w:r w:rsidR="000707DD" w:rsidRPr="00E2214C">
        <w:rPr>
          <w:rFonts w:ascii="Times New Roman" w:hAnsi="Times New Roman" w:cs="Times New Roman"/>
          <w:sz w:val="24"/>
          <w:szCs w:val="24"/>
        </w:rPr>
        <w:t>types of faculty</w:t>
      </w:r>
      <w:r w:rsidR="005A3B02" w:rsidRPr="00E2214C">
        <w:rPr>
          <w:rFonts w:ascii="Times New Roman" w:hAnsi="Times New Roman" w:cs="Times New Roman"/>
          <w:sz w:val="24"/>
          <w:szCs w:val="24"/>
        </w:rPr>
        <w:t xml:space="preserve"> </w:t>
      </w:r>
      <w:r w:rsidR="000707DD" w:rsidRPr="00E2214C">
        <w:rPr>
          <w:rFonts w:ascii="Times New Roman" w:hAnsi="Times New Roman" w:cs="Times New Roman"/>
          <w:sz w:val="24"/>
          <w:szCs w:val="24"/>
        </w:rPr>
        <w:t xml:space="preserve">positions – tenure-track, professor of practice and research professor. </w:t>
      </w:r>
      <w:r w:rsidR="001008D8" w:rsidRPr="00E2214C">
        <w:rPr>
          <w:rFonts w:ascii="Times New Roman" w:hAnsi="Times New Roman" w:cs="Times New Roman"/>
          <w:sz w:val="24"/>
          <w:szCs w:val="24"/>
        </w:rPr>
        <w:t xml:space="preserve">According to </w:t>
      </w:r>
      <w:r w:rsidR="000707DD" w:rsidRPr="00E2214C">
        <w:rPr>
          <w:rFonts w:ascii="Times New Roman" w:hAnsi="Times New Roman" w:cs="Times New Roman"/>
          <w:sz w:val="24"/>
          <w:szCs w:val="24"/>
        </w:rPr>
        <w:t>Policy 352</w:t>
      </w:r>
      <w:r w:rsidR="001008D8" w:rsidRPr="00E2214C">
        <w:rPr>
          <w:rFonts w:ascii="Times New Roman" w:hAnsi="Times New Roman" w:cs="Times New Roman"/>
          <w:sz w:val="24"/>
          <w:szCs w:val="24"/>
        </w:rPr>
        <w:t xml:space="preserve">, </w:t>
      </w:r>
      <w:r w:rsidRPr="00E2214C">
        <w:rPr>
          <w:rFonts w:ascii="Times New Roman" w:hAnsi="Times New Roman" w:cs="Times New Roman"/>
          <w:sz w:val="24"/>
          <w:szCs w:val="24"/>
        </w:rPr>
        <w:t xml:space="preserve">teaching, research, and service </w:t>
      </w:r>
      <w:r w:rsidR="001008D8" w:rsidRPr="00E2214C">
        <w:rPr>
          <w:rFonts w:ascii="Times New Roman" w:hAnsi="Times New Roman" w:cs="Times New Roman"/>
          <w:sz w:val="24"/>
          <w:szCs w:val="24"/>
        </w:rPr>
        <w:t xml:space="preserve">are </w:t>
      </w:r>
      <w:r w:rsidRPr="00E2214C">
        <w:rPr>
          <w:rFonts w:ascii="Times New Roman" w:hAnsi="Times New Roman" w:cs="Times New Roman"/>
          <w:sz w:val="24"/>
          <w:szCs w:val="24"/>
        </w:rPr>
        <w:t xml:space="preserve">the three </w:t>
      </w:r>
      <w:r w:rsidR="000707DD" w:rsidRPr="00E2214C">
        <w:rPr>
          <w:rFonts w:ascii="Times New Roman" w:hAnsi="Times New Roman" w:cs="Times New Roman"/>
          <w:sz w:val="24"/>
          <w:szCs w:val="24"/>
        </w:rPr>
        <w:t xml:space="preserve">areas </w:t>
      </w:r>
      <w:r w:rsidRPr="00E2214C">
        <w:rPr>
          <w:rFonts w:ascii="Times New Roman" w:hAnsi="Times New Roman" w:cs="Times New Roman"/>
          <w:sz w:val="24"/>
          <w:szCs w:val="24"/>
        </w:rPr>
        <w:t xml:space="preserve">in which </w:t>
      </w:r>
      <w:r w:rsidR="001008D8" w:rsidRPr="00E2214C">
        <w:rPr>
          <w:rFonts w:ascii="Times New Roman" w:hAnsi="Times New Roman" w:cs="Times New Roman"/>
          <w:sz w:val="24"/>
          <w:szCs w:val="24"/>
        </w:rPr>
        <w:t xml:space="preserve">tenure-track </w:t>
      </w:r>
      <w:r w:rsidRPr="00E2214C">
        <w:rPr>
          <w:rFonts w:ascii="Times New Roman" w:hAnsi="Times New Roman" w:cs="Times New Roman"/>
          <w:sz w:val="24"/>
          <w:szCs w:val="24"/>
        </w:rPr>
        <w:t xml:space="preserve">faculty </w:t>
      </w:r>
      <w:proofErr w:type="gramStart"/>
      <w:r w:rsidRPr="00E2214C">
        <w:rPr>
          <w:rFonts w:ascii="Times New Roman" w:hAnsi="Times New Roman" w:cs="Times New Roman"/>
          <w:sz w:val="24"/>
          <w:szCs w:val="24"/>
        </w:rPr>
        <w:t>are expected</w:t>
      </w:r>
      <w:proofErr w:type="gramEnd"/>
      <w:r w:rsidRPr="00E2214C">
        <w:rPr>
          <w:rFonts w:ascii="Times New Roman" w:hAnsi="Times New Roman" w:cs="Times New Roman"/>
          <w:sz w:val="24"/>
          <w:szCs w:val="24"/>
        </w:rPr>
        <w:t xml:space="preserve"> to contribute toward sustaining the mission of the University</w:t>
      </w:r>
      <w:r w:rsidR="001008D8" w:rsidRPr="00E2214C">
        <w:rPr>
          <w:rFonts w:ascii="Times New Roman" w:hAnsi="Times New Roman" w:cs="Times New Roman"/>
          <w:sz w:val="24"/>
          <w:szCs w:val="24"/>
        </w:rPr>
        <w:t xml:space="preserve">. The main function of a </w:t>
      </w:r>
      <w:r w:rsidR="005A3B02" w:rsidRPr="00E2214C">
        <w:rPr>
          <w:rFonts w:ascii="Times New Roman" w:hAnsi="Times New Roman" w:cs="Times New Roman"/>
          <w:sz w:val="24"/>
          <w:szCs w:val="24"/>
        </w:rPr>
        <w:t>P</w:t>
      </w:r>
      <w:r w:rsidR="001008D8" w:rsidRPr="00E2214C">
        <w:rPr>
          <w:rFonts w:ascii="Times New Roman" w:hAnsi="Times New Roman" w:cs="Times New Roman"/>
          <w:sz w:val="24"/>
          <w:szCs w:val="24"/>
        </w:rPr>
        <w:t xml:space="preserve">rofessor of practice is teaching whereas a </w:t>
      </w:r>
      <w:r w:rsidR="005A3B02" w:rsidRPr="00E2214C">
        <w:rPr>
          <w:rFonts w:ascii="Times New Roman" w:hAnsi="Times New Roman" w:cs="Times New Roman"/>
          <w:sz w:val="24"/>
          <w:szCs w:val="24"/>
        </w:rPr>
        <w:t>R</w:t>
      </w:r>
      <w:r w:rsidR="001008D8" w:rsidRPr="00E2214C">
        <w:rPr>
          <w:rFonts w:ascii="Times New Roman" w:hAnsi="Times New Roman" w:cs="Times New Roman"/>
          <w:sz w:val="24"/>
          <w:szCs w:val="24"/>
        </w:rPr>
        <w:t xml:space="preserve">esearch </w:t>
      </w:r>
      <w:r w:rsidR="005A3B02" w:rsidRPr="00E2214C">
        <w:rPr>
          <w:rFonts w:ascii="Times New Roman" w:hAnsi="Times New Roman" w:cs="Times New Roman"/>
          <w:sz w:val="24"/>
          <w:szCs w:val="24"/>
        </w:rPr>
        <w:t>P</w:t>
      </w:r>
      <w:r w:rsidR="001008D8" w:rsidRPr="00E2214C">
        <w:rPr>
          <w:rFonts w:ascii="Times New Roman" w:hAnsi="Times New Roman" w:cs="Times New Roman"/>
          <w:sz w:val="24"/>
          <w:szCs w:val="24"/>
        </w:rPr>
        <w:t>rofessor is limited to research and publication activities</w:t>
      </w:r>
      <w:r w:rsidRPr="00E2214C">
        <w:rPr>
          <w:rFonts w:ascii="Times New Roman" w:hAnsi="Times New Roman" w:cs="Times New Roman"/>
          <w:sz w:val="24"/>
          <w:szCs w:val="24"/>
        </w:rPr>
        <w:t xml:space="preserve">. </w:t>
      </w:r>
    </w:p>
    <w:p w14:paraId="64BFB3DD" w14:textId="77777777" w:rsidR="00EE61BF" w:rsidRPr="00E2214C" w:rsidRDefault="00EE61BF" w:rsidP="00EE61BF">
      <w:pPr>
        <w:spacing w:after="0" w:line="240" w:lineRule="auto"/>
        <w:ind w:left="720"/>
        <w:rPr>
          <w:rFonts w:ascii="Times New Roman" w:hAnsi="Times New Roman" w:cs="Times New Roman"/>
          <w:sz w:val="24"/>
          <w:szCs w:val="24"/>
        </w:rPr>
      </w:pPr>
    </w:p>
    <w:p w14:paraId="4C1A5483" w14:textId="77777777" w:rsidR="00EE61BF" w:rsidRPr="00E2214C" w:rsidRDefault="00BB2365" w:rsidP="00EE61BF">
      <w:pPr>
        <w:spacing w:after="0" w:line="240" w:lineRule="auto"/>
        <w:ind w:left="720"/>
        <w:rPr>
          <w:rFonts w:ascii="Times New Roman" w:hAnsi="Times New Roman" w:cs="Times New Roman"/>
          <w:sz w:val="24"/>
          <w:szCs w:val="24"/>
        </w:rPr>
      </w:pPr>
      <w:r w:rsidRPr="00E2214C">
        <w:rPr>
          <w:rFonts w:ascii="Times New Roman" w:hAnsi="Times New Roman" w:cs="Times New Roman"/>
          <w:sz w:val="24"/>
          <w:szCs w:val="24"/>
        </w:rPr>
        <w:t>In the case of tenure-track faculty, t</w:t>
      </w:r>
      <w:r w:rsidR="00B16DC3" w:rsidRPr="00E2214C">
        <w:rPr>
          <w:rFonts w:ascii="Times New Roman" w:hAnsi="Times New Roman" w:cs="Times New Roman"/>
          <w:sz w:val="24"/>
          <w:szCs w:val="24"/>
        </w:rPr>
        <w:t>he quality and quantity of contributions in all three areas</w:t>
      </w:r>
      <w:r w:rsidR="005A3B02" w:rsidRPr="00E2214C">
        <w:rPr>
          <w:rFonts w:ascii="Times New Roman" w:hAnsi="Times New Roman" w:cs="Times New Roman"/>
          <w:sz w:val="24"/>
          <w:szCs w:val="24"/>
        </w:rPr>
        <w:t xml:space="preserve"> (teaching, research and service)</w:t>
      </w:r>
      <w:r w:rsidR="00B16DC3" w:rsidRPr="00E2214C">
        <w:rPr>
          <w:rFonts w:ascii="Times New Roman" w:hAnsi="Times New Roman" w:cs="Times New Roman"/>
          <w:sz w:val="24"/>
          <w:szCs w:val="24"/>
        </w:rPr>
        <w:t xml:space="preserve"> </w:t>
      </w:r>
      <w:proofErr w:type="gramStart"/>
      <w:r w:rsidR="00B16DC3" w:rsidRPr="00E2214C">
        <w:rPr>
          <w:rFonts w:ascii="Times New Roman" w:hAnsi="Times New Roman" w:cs="Times New Roman"/>
          <w:sz w:val="24"/>
          <w:szCs w:val="24"/>
        </w:rPr>
        <w:t>will be considered</w:t>
      </w:r>
      <w:proofErr w:type="gramEnd"/>
      <w:r w:rsidR="00B16DC3" w:rsidRPr="00E2214C">
        <w:rPr>
          <w:rFonts w:ascii="Times New Roman" w:hAnsi="Times New Roman" w:cs="Times New Roman"/>
          <w:sz w:val="24"/>
          <w:szCs w:val="24"/>
        </w:rPr>
        <w:t xml:space="preserve"> at the time of promotion and tenure. The performance evaluation of a faculty member for promotion and/or tenure will also be based upon the individual</w:t>
      </w:r>
      <w:r w:rsidR="00BF649C" w:rsidRPr="00E2214C">
        <w:rPr>
          <w:rFonts w:ascii="Times New Roman" w:hAnsi="Times New Roman" w:cs="Times New Roman"/>
          <w:sz w:val="24"/>
          <w:szCs w:val="24"/>
        </w:rPr>
        <w:t>’</w:t>
      </w:r>
      <w:r w:rsidR="00B16DC3" w:rsidRPr="00E2214C">
        <w:rPr>
          <w:rFonts w:ascii="Times New Roman" w:hAnsi="Times New Roman" w:cs="Times New Roman"/>
          <w:sz w:val="24"/>
          <w:szCs w:val="24"/>
        </w:rPr>
        <w:t xml:space="preserve">s agreed upon job description and </w:t>
      </w:r>
      <w:proofErr w:type="gramStart"/>
      <w:r w:rsidR="00B16DC3" w:rsidRPr="00E2214C">
        <w:rPr>
          <w:rFonts w:ascii="Times New Roman" w:hAnsi="Times New Roman" w:cs="Times New Roman"/>
          <w:sz w:val="24"/>
          <w:szCs w:val="24"/>
        </w:rPr>
        <w:t>work load</w:t>
      </w:r>
      <w:proofErr w:type="gramEnd"/>
      <w:r w:rsidR="00B16DC3" w:rsidRPr="00E2214C">
        <w:rPr>
          <w:rFonts w:ascii="Times New Roman" w:hAnsi="Times New Roman" w:cs="Times New Roman"/>
          <w:sz w:val="24"/>
          <w:szCs w:val="24"/>
        </w:rPr>
        <w:t xml:space="preserve"> over the time period under review. For this reason, faculty members may not demonstrate equal level of accomplishments in all areas. The Department expects effective teaching, contributions in research, and service. </w:t>
      </w:r>
    </w:p>
    <w:p w14:paraId="763C4051" w14:textId="77777777" w:rsidR="00EE61BF" w:rsidRPr="00E2214C" w:rsidRDefault="00EE61BF" w:rsidP="00EE61BF">
      <w:pPr>
        <w:spacing w:after="0" w:line="240" w:lineRule="auto"/>
        <w:ind w:left="720"/>
        <w:rPr>
          <w:rFonts w:ascii="Times New Roman" w:hAnsi="Times New Roman" w:cs="Times New Roman"/>
          <w:sz w:val="24"/>
          <w:szCs w:val="24"/>
        </w:rPr>
      </w:pPr>
    </w:p>
    <w:p w14:paraId="78C3DC8A" w14:textId="77777777" w:rsidR="00EE61BF" w:rsidRPr="00E2214C" w:rsidRDefault="005A3B02" w:rsidP="00EE61BF">
      <w:pPr>
        <w:spacing w:after="0" w:line="240" w:lineRule="auto"/>
        <w:ind w:left="720"/>
        <w:rPr>
          <w:rFonts w:ascii="Times New Roman" w:hAnsi="Times New Roman" w:cs="Times New Roman"/>
          <w:sz w:val="24"/>
          <w:szCs w:val="24"/>
        </w:rPr>
      </w:pPr>
      <w:r w:rsidRPr="00E2214C">
        <w:rPr>
          <w:rFonts w:ascii="Times New Roman" w:hAnsi="Times New Roman" w:cs="Times New Roman"/>
          <w:bCs/>
          <w:sz w:val="24"/>
          <w:szCs w:val="24"/>
        </w:rPr>
        <w:t xml:space="preserve">While faculty in Professor of Practice and Research Professor </w:t>
      </w:r>
      <w:proofErr w:type="gramStart"/>
      <w:r w:rsidRPr="00E2214C">
        <w:rPr>
          <w:rFonts w:ascii="Times New Roman" w:hAnsi="Times New Roman" w:cs="Times New Roman"/>
          <w:bCs/>
          <w:sz w:val="24"/>
          <w:szCs w:val="24"/>
        </w:rPr>
        <w:t>positions</w:t>
      </w:r>
      <w:proofErr w:type="gramEnd"/>
      <w:r w:rsidRPr="00E2214C">
        <w:rPr>
          <w:rFonts w:ascii="Times New Roman" w:hAnsi="Times New Roman" w:cs="Times New Roman"/>
          <w:bCs/>
          <w:sz w:val="24"/>
          <w:szCs w:val="24"/>
        </w:rPr>
        <w:t xml:space="preserve"> are not eligible for tenure, promotion through ranks is encouraged and is based on time in rank and satisfactory evaluations of assigned responsibilities. An application for promotion </w:t>
      </w:r>
      <w:proofErr w:type="gramStart"/>
      <w:r w:rsidRPr="00E2214C">
        <w:rPr>
          <w:rFonts w:ascii="Times New Roman" w:hAnsi="Times New Roman" w:cs="Times New Roman"/>
          <w:bCs/>
          <w:sz w:val="24"/>
          <w:szCs w:val="24"/>
        </w:rPr>
        <w:t>is initiated</w:t>
      </w:r>
      <w:proofErr w:type="gramEnd"/>
      <w:r w:rsidRPr="00E2214C">
        <w:rPr>
          <w:rFonts w:ascii="Times New Roman" w:hAnsi="Times New Roman" w:cs="Times New Roman"/>
          <w:bCs/>
          <w:sz w:val="24"/>
          <w:szCs w:val="24"/>
        </w:rPr>
        <w:t xml:space="preserve"> via a departmental recommendation and follows the same procedure and submission deadlines as for tenure-line faculty.</w:t>
      </w:r>
      <w:r w:rsidRPr="00E2214C">
        <w:rPr>
          <w:rFonts w:ascii="Times New Roman" w:hAnsi="Times New Roman" w:cs="Times New Roman"/>
          <w:sz w:val="24"/>
          <w:szCs w:val="24"/>
        </w:rPr>
        <w:t xml:space="preserve"> </w:t>
      </w:r>
    </w:p>
    <w:p w14:paraId="7B0D56D0" w14:textId="77777777" w:rsidR="00EE61BF" w:rsidRPr="00E2214C" w:rsidRDefault="00EE61BF" w:rsidP="00EE61BF">
      <w:pPr>
        <w:spacing w:after="0" w:line="240" w:lineRule="auto"/>
        <w:ind w:left="720"/>
        <w:rPr>
          <w:rFonts w:ascii="Times New Roman" w:hAnsi="Times New Roman" w:cs="Times New Roman"/>
          <w:sz w:val="24"/>
          <w:szCs w:val="24"/>
        </w:rPr>
      </w:pPr>
    </w:p>
    <w:p w14:paraId="771407B2" w14:textId="7B36A964" w:rsidR="005A3B02" w:rsidRPr="00E2214C" w:rsidRDefault="005A3B02" w:rsidP="00EE61BF">
      <w:pPr>
        <w:spacing w:after="0" w:line="240" w:lineRule="auto"/>
        <w:ind w:left="720"/>
        <w:rPr>
          <w:rFonts w:ascii="Times New Roman" w:hAnsi="Times New Roman" w:cs="Times New Roman"/>
          <w:sz w:val="24"/>
          <w:szCs w:val="24"/>
        </w:rPr>
      </w:pPr>
      <w:r w:rsidRPr="00E2214C">
        <w:rPr>
          <w:rFonts w:ascii="Times New Roman" w:hAnsi="Times New Roman" w:cs="Times New Roman"/>
          <w:sz w:val="24"/>
          <w:szCs w:val="24"/>
        </w:rPr>
        <w:t xml:space="preserve">All faculty need to demonstrate continued productivity while at North Dakota State University, with the qualities of a Scholar as Integrity, Perseverance and Courage.  </w:t>
      </w:r>
    </w:p>
    <w:p w14:paraId="282B7794" w14:textId="77777777" w:rsidR="00B16DC3" w:rsidRPr="00E2214C" w:rsidRDefault="00B16DC3" w:rsidP="00B16DC3">
      <w:pPr>
        <w:pStyle w:val="ListParagraph"/>
        <w:widowControl w:val="0"/>
        <w:tabs>
          <w:tab w:val="left" w:pos="990"/>
        </w:tabs>
        <w:autoSpaceDE w:val="0"/>
        <w:autoSpaceDN w:val="0"/>
        <w:adjustRightInd w:val="0"/>
        <w:spacing w:after="0" w:line="240" w:lineRule="auto"/>
        <w:rPr>
          <w:rFonts w:ascii="Times New Roman" w:hAnsi="Times New Roman" w:cs="Times New Roman"/>
          <w:sz w:val="24"/>
          <w:szCs w:val="24"/>
        </w:rPr>
      </w:pPr>
    </w:p>
    <w:p w14:paraId="28C01A92" w14:textId="33F92424" w:rsidR="007A1981" w:rsidRPr="00E2214C" w:rsidRDefault="00B16DC3" w:rsidP="00B16DC3">
      <w:pPr>
        <w:pStyle w:val="ListParagraph"/>
        <w:widowControl w:val="0"/>
        <w:tabs>
          <w:tab w:val="left" w:pos="990"/>
        </w:tabs>
        <w:autoSpaceDE w:val="0"/>
        <w:autoSpaceDN w:val="0"/>
        <w:adjustRightInd w:val="0"/>
        <w:spacing w:after="0" w:line="240" w:lineRule="auto"/>
        <w:rPr>
          <w:rFonts w:ascii="Times New Roman" w:hAnsi="Times New Roman" w:cs="Times New Roman"/>
          <w:sz w:val="24"/>
          <w:szCs w:val="24"/>
        </w:rPr>
      </w:pPr>
      <w:r w:rsidRPr="00E2214C">
        <w:rPr>
          <w:rFonts w:ascii="Times New Roman" w:hAnsi="Times New Roman" w:cs="Times New Roman"/>
          <w:sz w:val="24"/>
          <w:szCs w:val="24"/>
        </w:rPr>
        <w:t xml:space="preserve">Consistent with University Policy (Section 352), it is within the authority of the university administration to grant </w:t>
      </w:r>
      <w:r w:rsidR="0017297B" w:rsidRPr="00E2214C">
        <w:rPr>
          <w:rFonts w:ascii="Times New Roman" w:hAnsi="Times New Roman" w:cs="Times New Roman"/>
          <w:sz w:val="24"/>
          <w:szCs w:val="24"/>
        </w:rPr>
        <w:t xml:space="preserve">1-3 year </w:t>
      </w:r>
      <w:r w:rsidRPr="00E2214C">
        <w:rPr>
          <w:rFonts w:ascii="Times New Roman" w:hAnsi="Times New Roman" w:cs="Times New Roman"/>
          <w:sz w:val="24"/>
          <w:szCs w:val="24"/>
        </w:rPr>
        <w:t>credit toward tenure when substantial previous, relevant experience has been documented in the original letter of appoi</w:t>
      </w:r>
      <w:r w:rsidR="0017297B" w:rsidRPr="00E2214C">
        <w:rPr>
          <w:rFonts w:ascii="Times New Roman" w:hAnsi="Times New Roman" w:cs="Times New Roman"/>
          <w:sz w:val="24"/>
          <w:szCs w:val="24"/>
        </w:rPr>
        <w:t xml:space="preserve">ntment (hiring contract). Faculty hired with relevant experience may be hired with tenure. </w:t>
      </w:r>
      <w:r w:rsidRPr="00E2214C">
        <w:rPr>
          <w:rFonts w:ascii="Times New Roman" w:hAnsi="Times New Roman" w:cs="Times New Roman"/>
          <w:sz w:val="24"/>
          <w:szCs w:val="24"/>
        </w:rPr>
        <w:t xml:space="preserve">Within the College of Engineering, the level of </w:t>
      </w:r>
      <w:r w:rsidR="008B2368" w:rsidRPr="00E2214C">
        <w:rPr>
          <w:rFonts w:ascii="Times New Roman" w:hAnsi="Times New Roman" w:cs="Times New Roman"/>
          <w:sz w:val="24"/>
          <w:szCs w:val="24"/>
        </w:rPr>
        <w:t>“</w:t>
      </w:r>
      <w:r w:rsidRPr="00E2214C">
        <w:rPr>
          <w:rFonts w:ascii="Times New Roman" w:hAnsi="Times New Roman" w:cs="Times New Roman"/>
          <w:sz w:val="24"/>
          <w:szCs w:val="24"/>
        </w:rPr>
        <w:t>exceptional academic accomplishment</w:t>
      </w:r>
      <w:r w:rsidR="008B2368" w:rsidRPr="00E2214C">
        <w:rPr>
          <w:rFonts w:ascii="Times New Roman" w:hAnsi="Times New Roman" w:cs="Times New Roman"/>
          <w:sz w:val="24"/>
          <w:szCs w:val="24"/>
        </w:rPr>
        <w:t>”</w:t>
      </w:r>
      <w:r w:rsidRPr="00E2214C">
        <w:rPr>
          <w:rFonts w:ascii="Times New Roman" w:hAnsi="Times New Roman" w:cs="Times New Roman"/>
          <w:sz w:val="24"/>
          <w:szCs w:val="24"/>
        </w:rPr>
        <w:t xml:space="preserve"> prior to appointment at </w:t>
      </w:r>
      <w:r w:rsidR="00D93808" w:rsidRPr="00E2214C">
        <w:rPr>
          <w:rFonts w:ascii="Times New Roman" w:hAnsi="Times New Roman" w:cs="Times New Roman"/>
          <w:sz w:val="24"/>
          <w:szCs w:val="24"/>
        </w:rPr>
        <w:t>North Dakota State University</w:t>
      </w:r>
      <w:r w:rsidRPr="00E2214C">
        <w:rPr>
          <w:rFonts w:ascii="Times New Roman" w:hAnsi="Times New Roman" w:cs="Times New Roman"/>
          <w:sz w:val="24"/>
          <w:szCs w:val="24"/>
        </w:rPr>
        <w:t xml:space="preserve"> is regarded as exceedingly rare. Probationary-period faculty are encouraged to take full advantage of the customary six-year period appropriate to demonstrate continuing effectiveness with the context of this institution. Faculty committees of the Department and the College are bound by the original letter of appointment and the candidate</w:t>
      </w:r>
      <w:r w:rsidR="00BF649C" w:rsidRPr="00E2214C">
        <w:rPr>
          <w:rFonts w:ascii="Times New Roman" w:hAnsi="Times New Roman" w:cs="Times New Roman"/>
          <w:sz w:val="24"/>
          <w:szCs w:val="24"/>
        </w:rPr>
        <w:t>’</w:t>
      </w:r>
      <w:r w:rsidRPr="00E2214C">
        <w:rPr>
          <w:rFonts w:ascii="Times New Roman" w:hAnsi="Times New Roman" w:cs="Times New Roman"/>
          <w:sz w:val="24"/>
          <w:szCs w:val="24"/>
        </w:rPr>
        <w:t xml:space="preserve">s job description, but evidence of achievement in the areas of teaching, research, and service will be evaluated based on a level of documented activity in all areas equivalent to that expected from six-years of service at North Dakota State University. </w:t>
      </w:r>
    </w:p>
    <w:p w14:paraId="2B7234BF" w14:textId="6159A64A" w:rsidR="007A1981" w:rsidRPr="00E2214C" w:rsidRDefault="007A1981" w:rsidP="00B16DC3">
      <w:pPr>
        <w:widowControl w:val="0"/>
        <w:autoSpaceDE w:val="0"/>
        <w:autoSpaceDN w:val="0"/>
        <w:adjustRightInd w:val="0"/>
        <w:spacing w:after="0" w:line="240" w:lineRule="auto"/>
        <w:rPr>
          <w:rFonts w:ascii="Times New Roman" w:eastAsia="Times New Roman" w:hAnsi="Times New Roman" w:cs="Times New Roman"/>
          <w:sz w:val="24"/>
          <w:szCs w:val="24"/>
        </w:rPr>
      </w:pPr>
    </w:p>
    <w:p w14:paraId="2845C5C2" w14:textId="2884DF90" w:rsidR="00D96273" w:rsidRPr="00E2214C" w:rsidRDefault="00D96273" w:rsidP="00563C40">
      <w:pPr>
        <w:pStyle w:val="ListParagraph"/>
        <w:rPr>
          <w:rFonts w:ascii="Times New Roman" w:hAnsi="Times New Roman" w:cs="Times New Roman"/>
          <w:sz w:val="24"/>
          <w:szCs w:val="24"/>
        </w:rPr>
      </w:pPr>
      <w:r w:rsidRPr="00E2214C">
        <w:rPr>
          <w:rFonts w:ascii="Times New Roman" w:hAnsi="Times New Roman" w:cs="Times New Roman"/>
          <w:sz w:val="24"/>
          <w:szCs w:val="24"/>
        </w:rPr>
        <w:t xml:space="preserve">The Department adopted the concept of Scholarship defined in the College PT&amp;E Procedure and Criteria: </w:t>
      </w:r>
    </w:p>
    <w:p w14:paraId="2B2E1DCC" w14:textId="77777777" w:rsidR="00D96273" w:rsidRPr="00E2214C" w:rsidRDefault="00D96273" w:rsidP="00563C40">
      <w:pPr>
        <w:pStyle w:val="ListParagraph"/>
        <w:rPr>
          <w:rStyle w:val="normaltextrun"/>
          <w:rFonts w:ascii="Times New Roman" w:hAnsi="Times New Roman" w:cs="Times New Roman"/>
          <w:sz w:val="24"/>
          <w:szCs w:val="24"/>
        </w:rPr>
      </w:pPr>
    </w:p>
    <w:p w14:paraId="542C6AE0" w14:textId="63194BC3" w:rsidR="00563C40" w:rsidRPr="00E2214C" w:rsidRDefault="00563C40" w:rsidP="003A2D7E">
      <w:pPr>
        <w:pStyle w:val="ListParagraph"/>
        <w:ind w:left="1440"/>
        <w:rPr>
          <w:rFonts w:ascii="Times New Roman" w:hAnsi="Times New Roman" w:cs="Times New Roman"/>
          <w:i/>
          <w:sz w:val="24"/>
          <w:szCs w:val="24"/>
        </w:rPr>
      </w:pPr>
      <w:r w:rsidRPr="00E2214C">
        <w:rPr>
          <w:rStyle w:val="normaltextrun"/>
          <w:rFonts w:ascii="Times New Roman" w:hAnsi="Times New Roman" w:cs="Times New Roman"/>
          <w:i/>
          <w:sz w:val="24"/>
          <w:szCs w:val="24"/>
        </w:rPr>
        <w:t>Scholarship</w:t>
      </w:r>
      <w:r w:rsidRPr="00E2214C">
        <w:rPr>
          <w:rStyle w:val="apple-converted-space"/>
          <w:rFonts w:ascii="Times New Roman" w:hAnsi="Times New Roman" w:cs="Times New Roman"/>
          <w:i/>
          <w:sz w:val="24"/>
          <w:szCs w:val="24"/>
        </w:rPr>
        <w:t> </w:t>
      </w:r>
      <w:r w:rsidRPr="00E2214C">
        <w:rPr>
          <w:rStyle w:val="normaltextrun"/>
          <w:rFonts w:ascii="Times New Roman" w:hAnsi="Times New Roman" w:cs="Times New Roman"/>
          <w:i/>
          <w:sz w:val="24"/>
          <w:szCs w:val="24"/>
        </w:rPr>
        <w:t>is defined as</w:t>
      </w:r>
      <w:r w:rsidRPr="00E2214C">
        <w:rPr>
          <w:rStyle w:val="apple-converted-space"/>
          <w:rFonts w:ascii="Times New Roman" w:hAnsi="Times New Roman" w:cs="Times New Roman"/>
          <w:i/>
          <w:sz w:val="24"/>
          <w:szCs w:val="24"/>
        </w:rPr>
        <w:t> </w:t>
      </w:r>
      <w:r w:rsidRPr="00E2214C">
        <w:rPr>
          <w:rStyle w:val="normaltextrun"/>
          <w:rFonts w:ascii="Times New Roman" w:hAnsi="Times New Roman" w:cs="Times New Roman"/>
          <w:i/>
          <w:sz w:val="24"/>
          <w:szCs w:val="24"/>
        </w:rPr>
        <w:t>a “… creative, systematic, rational inquiry into a topic and the honest, forthright application or exposition of conclusions drawn from that inquiry. It builds on existing knowledge and employs critical analysis and judgment to enhance understanding”</w:t>
      </w:r>
      <w:r w:rsidR="00FB493C" w:rsidRPr="00E2214C">
        <w:rPr>
          <w:rStyle w:val="FootnoteReference"/>
          <w:rFonts w:ascii="Times New Roman" w:hAnsi="Times New Roman" w:cs="Times New Roman"/>
          <w:i/>
          <w:sz w:val="24"/>
          <w:szCs w:val="24"/>
        </w:rPr>
        <w:footnoteReference w:id="1"/>
      </w:r>
      <w:r w:rsidRPr="00E2214C">
        <w:rPr>
          <w:rStyle w:val="normaltextrun"/>
          <w:rFonts w:ascii="Times New Roman" w:hAnsi="Times New Roman" w:cs="Times New Roman"/>
          <w:i/>
          <w:sz w:val="24"/>
          <w:szCs w:val="24"/>
        </w:rPr>
        <w:t>.</w:t>
      </w:r>
      <w:r w:rsidRPr="00E2214C">
        <w:rPr>
          <w:rStyle w:val="apple-converted-space"/>
          <w:rFonts w:ascii="Times New Roman" w:hAnsi="Times New Roman" w:cs="Times New Roman"/>
          <w:i/>
          <w:sz w:val="24"/>
          <w:szCs w:val="24"/>
        </w:rPr>
        <w:t> </w:t>
      </w:r>
      <w:r w:rsidRPr="00E2214C">
        <w:rPr>
          <w:rStyle w:val="normaltextrun"/>
          <w:rFonts w:ascii="Times New Roman" w:hAnsi="Times New Roman" w:cs="Times New Roman"/>
          <w:i/>
          <w:sz w:val="24"/>
          <w:szCs w:val="24"/>
        </w:rPr>
        <w:t>Scholarly work</w:t>
      </w:r>
      <w:r w:rsidRPr="00E2214C">
        <w:rPr>
          <w:rStyle w:val="apple-converted-space"/>
          <w:rFonts w:ascii="Times New Roman" w:hAnsi="Times New Roman" w:cs="Times New Roman"/>
          <w:i/>
          <w:sz w:val="24"/>
          <w:szCs w:val="24"/>
        </w:rPr>
        <w:t> </w:t>
      </w:r>
      <w:r w:rsidRPr="00E2214C">
        <w:rPr>
          <w:rStyle w:val="normaltextrun"/>
          <w:rFonts w:ascii="Times New Roman" w:hAnsi="Times New Roman" w:cs="Times New Roman"/>
          <w:i/>
          <w:sz w:val="24"/>
          <w:szCs w:val="24"/>
        </w:rPr>
        <w:t>must be made public, must be available for peer-review and critique</w:t>
      </w:r>
      <w:r w:rsidRPr="00E2214C">
        <w:rPr>
          <w:rStyle w:val="apple-converted-space"/>
          <w:rFonts w:ascii="Times New Roman" w:hAnsi="Times New Roman" w:cs="Times New Roman"/>
          <w:i/>
          <w:sz w:val="24"/>
          <w:szCs w:val="24"/>
        </w:rPr>
        <w:t> </w:t>
      </w:r>
      <w:r w:rsidRPr="00E2214C">
        <w:rPr>
          <w:rStyle w:val="normaltextrun"/>
          <w:rFonts w:ascii="Times New Roman" w:hAnsi="Times New Roman" w:cs="Times New Roman"/>
          <w:i/>
          <w:sz w:val="24"/>
          <w:szCs w:val="24"/>
        </w:rPr>
        <w:t>according</w:t>
      </w:r>
      <w:r w:rsidRPr="00E2214C">
        <w:rPr>
          <w:rStyle w:val="apple-converted-space"/>
          <w:rFonts w:ascii="Times New Roman" w:hAnsi="Times New Roman" w:cs="Times New Roman"/>
          <w:i/>
          <w:sz w:val="24"/>
          <w:szCs w:val="24"/>
        </w:rPr>
        <w:t> </w:t>
      </w:r>
      <w:r w:rsidRPr="00E2214C">
        <w:rPr>
          <w:rStyle w:val="normaltextrun"/>
          <w:rFonts w:ascii="Times New Roman" w:hAnsi="Times New Roman" w:cs="Times New Roman"/>
          <w:i/>
          <w:sz w:val="24"/>
          <w:szCs w:val="24"/>
        </w:rPr>
        <w:t>to accepted standards, and must be reproducible to be built upon by other scholars.</w:t>
      </w:r>
      <w:r w:rsidRPr="00E2214C">
        <w:rPr>
          <w:rStyle w:val="eop"/>
          <w:rFonts w:ascii="Times New Roman" w:hAnsi="Times New Roman" w:cs="Times New Roman"/>
          <w:i/>
          <w:sz w:val="24"/>
          <w:szCs w:val="24"/>
        </w:rPr>
        <w:t xml:space="preserve"> Developing and maintaining a Faculty of Scholars </w:t>
      </w:r>
      <w:r w:rsidRPr="00E2214C">
        <w:rPr>
          <w:rFonts w:ascii="Times New Roman" w:hAnsi="Times New Roman" w:cs="Times New Roman"/>
          <w:i/>
          <w:sz w:val="24"/>
          <w:szCs w:val="24"/>
        </w:rPr>
        <w:t>necessitates that the University be “not only a place of teaching, but also a place of learning”</w:t>
      </w:r>
      <w:r w:rsidR="00FB493C" w:rsidRPr="00E2214C">
        <w:rPr>
          <w:rStyle w:val="FootnoteReference"/>
          <w:rFonts w:ascii="Times New Roman" w:hAnsi="Times New Roman" w:cs="Times New Roman"/>
          <w:i/>
          <w:sz w:val="24"/>
          <w:szCs w:val="24"/>
        </w:rPr>
        <w:footnoteReference w:id="2"/>
      </w:r>
      <w:r w:rsidRPr="00E2214C">
        <w:rPr>
          <w:rFonts w:ascii="Times New Roman" w:hAnsi="Times New Roman" w:cs="Times New Roman"/>
          <w:i/>
          <w:sz w:val="24"/>
          <w:szCs w:val="24"/>
        </w:rPr>
        <w:t xml:space="preserve"> for students and faculty alike.  </w:t>
      </w:r>
    </w:p>
    <w:p w14:paraId="22EA7AE7" w14:textId="77777777" w:rsidR="00950E9D" w:rsidRPr="00E2214C" w:rsidRDefault="00D96273" w:rsidP="00563C40">
      <w:pPr>
        <w:ind w:left="720"/>
        <w:rPr>
          <w:rFonts w:ascii="Times New Roman" w:hAnsi="Times New Roman" w:cs="Times New Roman"/>
          <w:sz w:val="24"/>
          <w:szCs w:val="24"/>
        </w:rPr>
      </w:pPr>
      <w:r w:rsidRPr="00E2214C">
        <w:rPr>
          <w:rFonts w:ascii="Times New Roman" w:hAnsi="Times New Roman" w:cs="Times New Roman"/>
          <w:sz w:val="24"/>
          <w:szCs w:val="24"/>
        </w:rPr>
        <w:t>The department views s</w:t>
      </w:r>
      <w:r w:rsidR="00563C40" w:rsidRPr="00E2214C">
        <w:rPr>
          <w:rFonts w:ascii="Times New Roman" w:hAnsi="Times New Roman" w:cs="Times New Roman"/>
          <w:sz w:val="24"/>
          <w:szCs w:val="24"/>
        </w:rPr>
        <w:t xml:space="preserve">cholarship </w:t>
      </w:r>
      <w:r w:rsidRPr="00E2214C">
        <w:rPr>
          <w:rFonts w:ascii="Times New Roman" w:hAnsi="Times New Roman" w:cs="Times New Roman"/>
          <w:sz w:val="24"/>
          <w:szCs w:val="24"/>
        </w:rPr>
        <w:t xml:space="preserve">as </w:t>
      </w:r>
      <w:r w:rsidR="00563C40" w:rsidRPr="00E2214C">
        <w:rPr>
          <w:rFonts w:ascii="Times New Roman" w:hAnsi="Times New Roman" w:cs="Times New Roman"/>
          <w:sz w:val="24"/>
          <w:szCs w:val="24"/>
        </w:rPr>
        <w:t xml:space="preserve">the </w:t>
      </w:r>
      <w:r w:rsidRPr="00E2214C">
        <w:rPr>
          <w:rFonts w:ascii="Times New Roman" w:hAnsi="Times New Roman" w:cs="Times New Roman"/>
          <w:sz w:val="24"/>
          <w:szCs w:val="24"/>
        </w:rPr>
        <w:t xml:space="preserve">Scholarship </w:t>
      </w:r>
      <w:r w:rsidR="00967032" w:rsidRPr="00E2214C">
        <w:rPr>
          <w:rFonts w:ascii="Times New Roman" w:hAnsi="Times New Roman" w:cs="Times New Roman"/>
          <w:sz w:val="24"/>
          <w:szCs w:val="24"/>
        </w:rPr>
        <w:t xml:space="preserve">of </w:t>
      </w:r>
      <w:r w:rsidR="00967032" w:rsidRPr="00E2214C">
        <w:rPr>
          <w:rFonts w:ascii="Times New Roman" w:hAnsi="Times New Roman" w:cs="Times New Roman"/>
          <w:i/>
          <w:sz w:val="24"/>
          <w:szCs w:val="24"/>
        </w:rPr>
        <w:t>Discovery</w:t>
      </w:r>
      <w:r w:rsidR="00FB493C" w:rsidRPr="00E2214C">
        <w:rPr>
          <w:rFonts w:ascii="Times New Roman" w:hAnsi="Times New Roman" w:cs="Times New Roman"/>
          <w:sz w:val="24"/>
          <w:szCs w:val="24"/>
        </w:rPr>
        <w:t>,</w:t>
      </w:r>
      <w:r w:rsidRPr="00E2214C">
        <w:rPr>
          <w:rFonts w:ascii="Times New Roman" w:hAnsi="Times New Roman" w:cs="Times New Roman"/>
          <w:sz w:val="24"/>
          <w:szCs w:val="24"/>
        </w:rPr>
        <w:t xml:space="preserve"> </w:t>
      </w:r>
      <w:r w:rsidR="00563C40" w:rsidRPr="00E2214C">
        <w:rPr>
          <w:rFonts w:ascii="Times New Roman" w:hAnsi="Times New Roman" w:cs="Times New Roman"/>
          <w:sz w:val="24"/>
          <w:szCs w:val="24"/>
        </w:rPr>
        <w:t xml:space="preserve">Scholarship of </w:t>
      </w:r>
      <w:r w:rsidR="00563C40" w:rsidRPr="00E2214C">
        <w:rPr>
          <w:rFonts w:ascii="Times New Roman" w:hAnsi="Times New Roman" w:cs="Times New Roman"/>
          <w:i/>
          <w:iCs/>
          <w:sz w:val="24"/>
          <w:szCs w:val="24"/>
        </w:rPr>
        <w:t>Integration</w:t>
      </w:r>
      <w:r w:rsidR="00563C40" w:rsidRPr="00E2214C">
        <w:rPr>
          <w:rFonts w:ascii="Times New Roman" w:hAnsi="Times New Roman" w:cs="Times New Roman"/>
          <w:sz w:val="24"/>
          <w:szCs w:val="24"/>
        </w:rPr>
        <w:t xml:space="preserve">, Scholarship of </w:t>
      </w:r>
      <w:r w:rsidR="00563C40" w:rsidRPr="00E2214C">
        <w:rPr>
          <w:rFonts w:ascii="Times New Roman" w:hAnsi="Times New Roman" w:cs="Times New Roman"/>
          <w:i/>
          <w:iCs/>
          <w:sz w:val="24"/>
          <w:szCs w:val="24"/>
        </w:rPr>
        <w:t>Application</w:t>
      </w:r>
      <w:r w:rsidR="00563C40" w:rsidRPr="00E2214C">
        <w:rPr>
          <w:rFonts w:ascii="Times New Roman" w:hAnsi="Times New Roman" w:cs="Times New Roman"/>
          <w:sz w:val="24"/>
          <w:szCs w:val="24"/>
        </w:rPr>
        <w:t xml:space="preserve">, and Scholarship of </w:t>
      </w:r>
      <w:r w:rsidR="00563C40" w:rsidRPr="00E2214C">
        <w:rPr>
          <w:rFonts w:ascii="Times New Roman" w:hAnsi="Times New Roman" w:cs="Times New Roman"/>
          <w:i/>
          <w:iCs/>
          <w:sz w:val="24"/>
          <w:szCs w:val="24"/>
        </w:rPr>
        <w:t>Teaching</w:t>
      </w:r>
      <w:r w:rsidR="00563C40" w:rsidRPr="00E2214C">
        <w:rPr>
          <w:rFonts w:ascii="Times New Roman" w:hAnsi="Times New Roman" w:cs="Times New Roman"/>
          <w:sz w:val="24"/>
          <w:szCs w:val="24"/>
        </w:rPr>
        <w:t xml:space="preserve"> to recognize the diversity of scholarship in each of these areas</w:t>
      </w:r>
      <w:r w:rsidR="00DE37F4" w:rsidRPr="00E2214C">
        <w:rPr>
          <w:rStyle w:val="FootnoteReference"/>
          <w:rFonts w:ascii="Times New Roman" w:hAnsi="Times New Roman" w:cs="Times New Roman"/>
          <w:sz w:val="24"/>
          <w:szCs w:val="24"/>
        </w:rPr>
        <w:footnoteReference w:id="3"/>
      </w:r>
      <w:r w:rsidR="00563C40" w:rsidRPr="00E2214C">
        <w:rPr>
          <w:rFonts w:ascii="Times New Roman" w:hAnsi="Times New Roman" w:cs="Times New Roman"/>
          <w:sz w:val="24"/>
          <w:szCs w:val="24"/>
        </w:rPr>
        <w:t xml:space="preserve">. </w:t>
      </w:r>
      <w:r w:rsidRPr="00E2214C">
        <w:rPr>
          <w:rFonts w:ascii="Times New Roman" w:hAnsi="Times New Roman" w:cs="Times New Roman"/>
          <w:sz w:val="24"/>
          <w:szCs w:val="24"/>
        </w:rPr>
        <w:t xml:space="preserve">Some examples of these Scholarships </w:t>
      </w:r>
      <w:proofErr w:type="gramStart"/>
      <w:r w:rsidRPr="00E2214C">
        <w:rPr>
          <w:rFonts w:ascii="Times New Roman" w:hAnsi="Times New Roman" w:cs="Times New Roman"/>
          <w:sz w:val="24"/>
          <w:szCs w:val="24"/>
        </w:rPr>
        <w:t>can be found</w:t>
      </w:r>
      <w:proofErr w:type="gramEnd"/>
      <w:r w:rsidRPr="00E2214C">
        <w:rPr>
          <w:rFonts w:ascii="Times New Roman" w:hAnsi="Times New Roman" w:cs="Times New Roman"/>
          <w:sz w:val="24"/>
          <w:szCs w:val="24"/>
        </w:rPr>
        <w:t xml:space="preserve"> </w:t>
      </w:r>
      <w:r w:rsidR="00967032" w:rsidRPr="00E2214C">
        <w:rPr>
          <w:rFonts w:ascii="Times New Roman" w:hAnsi="Times New Roman" w:cs="Times New Roman"/>
          <w:sz w:val="24"/>
          <w:szCs w:val="24"/>
        </w:rPr>
        <w:t>in the College PT&amp;E Procedure and Criteria</w:t>
      </w:r>
      <w:r w:rsidR="00DE37F4" w:rsidRPr="00E2214C">
        <w:rPr>
          <w:rFonts w:ascii="Times New Roman" w:hAnsi="Times New Roman" w:cs="Times New Roman"/>
          <w:sz w:val="24"/>
          <w:szCs w:val="24"/>
        </w:rPr>
        <w:t>, Section3a.</w:t>
      </w:r>
      <w:r w:rsidR="00967032" w:rsidRPr="00E2214C">
        <w:rPr>
          <w:rFonts w:ascii="Times New Roman" w:hAnsi="Times New Roman" w:cs="Times New Roman"/>
          <w:sz w:val="24"/>
          <w:szCs w:val="24"/>
        </w:rPr>
        <w:t xml:space="preserve"> </w:t>
      </w:r>
    </w:p>
    <w:p w14:paraId="770E59F5" w14:textId="11FC9B9C" w:rsidR="00563C40" w:rsidRPr="00E2214C" w:rsidRDefault="00563C40" w:rsidP="00563C40">
      <w:pPr>
        <w:ind w:left="720"/>
        <w:rPr>
          <w:rFonts w:ascii="Times New Roman" w:hAnsi="Times New Roman" w:cs="Times New Roman"/>
          <w:sz w:val="24"/>
          <w:szCs w:val="24"/>
        </w:rPr>
      </w:pPr>
      <w:r w:rsidRPr="00E2214C">
        <w:rPr>
          <w:rFonts w:ascii="Times New Roman" w:hAnsi="Times New Roman" w:cs="Times New Roman"/>
          <w:sz w:val="24"/>
          <w:szCs w:val="24"/>
        </w:rPr>
        <w:t xml:space="preserve">Scholarship of a faculty member’s body of work </w:t>
      </w:r>
      <w:proofErr w:type="gramStart"/>
      <w:r w:rsidRPr="00E2214C">
        <w:rPr>
          <w:rFonts w:ascii="Times New Roman" w:hAnsi="Times New Roman" w:cs="Times New Roman"/>
          <w:sz w:val="24"/>
          <w:szCs w:val="24"/>
        </w:rPr>
        <w:t>will be assessed</w:t>
      </w:r>
      <w:proofErr w:type="gramEnd"/>
      <w:r w:rsidRPr="00E2214C">
        <w:rPr>
          <w:rFonts w:ascii="Times New Roman" w:hAnsi="Times New Roman" w:cs="Times New Roman"/>
          <w:sz w:val="24"/>
          <w:szCs w:val="24"/>
        </w:rPr>
        <w:t xml:space="preserve"> based on evidence provided by the faculty member that addresses the following six criteria</w:t>
      </w:r>
      <w:r w:rsidR="00DE37F4" w:rsidRPr="00E2214C">
        <w:rPr>
          <w:rStyle w:val="FootnoteReference"/>
          <w:rFonts w:ascii="Times New Roman" w:hAnsi="Times New Roman" w:cs="Times New Roman"/>
          <w:sz w:val="24"/>
          <w:szCs w:val="24"/>
        </w:rPr>
        <w:footnoteReference w:id="4"/>
      </w:r>
      <w:r w:rsidRPr="00E2214C">
        <w:rPr>
          <w:rFonts w:ascii="Times New Roman" w:hAnsi="Times New Roman" w:cs="Times New Roman"/>
          <w:sz w:val="24"/>
          <w:szCs w:val="24"/>
        </w:rPr>
        <w:t>:</w:t>
      </w:r>
    </w:p>
    <w:p w14:paraId="7C9DF3ED" w14:textId="77777777" w:rsidR="00563C40" w:rsidRPr="00E2214C" w:rsidRDefault="00563C40" w:rsidP="005B2379">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2214C">
        <w:rPr>
          <w:rFonts w:ascii="Times New Roman" w:hAnsi="Times New Roman" w:cs="Times New Roman"/>
          <w:sz w:val="24"/>
          <w:szCs w:val="24"/>
        </w:rPr>
        <w:t>Clear goals – Does the scholar clearly</w:t>
      </w:r>
      <w:r w:rsidRPr="00E2214C" w:rsidDel="00715282">
        <w:rPr>
          <w:rFonts w:ascii="Times New Roman" w:hAnsi="Times New Roman" w:cs="Times New Roman"/>
          <w:sz w:val="24"/>
          <w:szCs w:val="24"/>
        </w:rPr>
        <w:t xml:space="preserve"> </w:t>
      </w:r>
      <w:r w:rsidRPr="00E2214C">
        <w:rPr>
          <w:rFonts w:ascii="Times New Roman" w:hAnsi="Times New Roman" w:cs="Times New Roman"/>
          <w:sz w:val="24"/>
          <w:szCs w:val="24"/>
        </w:rPr>
        <w:t xml:space="preserve">state the basic purpose of the work, define realistic and achievable objectives, and identify important problems in the field? </w:t>
      </w:r>
    </w:p>
    <w:p w14:paraId="52A3C8E7" w14:textId="77777777" w:rsidR="00563C40" w:rsidRPr="00E2214C" w:rsidRDefault="00563C40" w:rsidP="005B2379">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2214C">
        <w:rPr>
          <w:rFonts w:ascii="Times New Roman" w:hAnsi="Times New Roman" w:cs="Times New Roman"/>
          <w:sz w:val="24"/>
          <w:szCs w:val="24"/>
        </w:rPr>
        <w:t>Adequate preparation – Does the scholar demonstrate understanding of the existing scholarship in the field, utilize necessary skills and tools in the work, and integrate the necessary resources to move the project forward?</w:t>
      </w:r>
    </w:p>
    <w:p w14:paraId="705F1EDB" w14:textId="77777777" w:rsidR="00563C40" w:rsidRPr="00E2214C" w:rsidRDefault="00563C40" w:rsidP="005B2379">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2214C">
        <w:rPr>
          <w:rFonts w:ascii="Times New Roman" w:hAnsi="Times New Roman" w:cs="Times New Roman"/>
          <w:sz w:val="24"/>
          <w:szCs w:val="24"/>
        </w:rPr>
        <w:t>Appropriate methods – Does the scholar effectively</w:t>
      </w:r>
      <w:r w:rsidRPr="00E2214C" w:rsidDel="00715282">
        <w:rPr>
          <w:rFonts w:ascii="Times New Roman" w:hAnsi="Times New Roman" w:cs="Times New Roman"/>
          <w:sz w:val="24"/>
          <w:szCs w:val="24"/>
        </w:rPr>
        <w:t xml:space="preserve"> </w:t>
      </w:r>
      <w:r w:rsidRPr="00E2214C">
        <w:rPr>
          <w:rFonts w:ascii="Times New Roman" w:hAnsi="Times New Roman" w:cs="Times New Roman"/>
          <w:sz w:val="24"/>
          <w:szCs w:val="24"/>
        </w:rPr>
        <w:t>use appropriate methods, and modify procedures in response to changing circumstances?</w:t>
      </w:r>
    </w:p>
    <w:p w14:paraId="0C2FA8B4" w14:textId="77777777" w:rsidR="00563C40" w:rsidRPr="00E2214C" w:rsidRDefault="00563C40" w:rsidP="005B2379">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2214C">
        <w:rPr>
          <w:rFonts w:ascii="Times New Roman" w:hAnsi="Times New Roman" w:cs="Times New Roman"/>
          <w:sz w:val="24"/>
          <w:szCs w:val="24"/>
        </w:rPr>
        <w:t>Significant results – Does the scholar achieve the stated goals, make a consequential contribution to the field, and open additional areas for further exploration?</w:t>
      </w:r>
    </w:p>
    <w:p w14:paraId="1B67BFA9" w14:textId="77777777" w:rsidR="00563C40" w:rsidRPr="00E2214C" w:rsidRDefault="00563C40" w:rsidP="005B2379">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2214C">
        <w:rPr>
          <w:rFonts w:ascii="Times New Roman" w:hAnsi="Times New Roman" w:cs="Times New Roman"/>
          <w:sz w:val="24"/>
          <w:szCs w:val="24"/>
        </w:rPr>
        <w:t>Effective presentation – Is the scholar’s work presented with clarity and integrity, with a suitable style and effective organization, and in appropriate forums to communicate to intended audiences?</w:t>
      </w:r>
    </w:p>
    <w:p w14:paraId="763067B2" w14:textId="77777777" w:rsidR="00563C40" w:rsidRPr="00E2214C" w:rsidRDefault="00563C40" w:rsidP="005B2379">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2214C">
        <w:rPr>
          <w:rFonts w:ascii="Times New Roman" w:hAnsi="Times New Roman" w:cs="Times New Roman"/>
          <w:sz w:val="24"/>
          <w:szCs w:val="24"/>
        </w:rPr>
        <w:t>Reflective critique – Does the scholar use a critical self-evaluation, based on an appropriate breadth of evidence, to improve the quality of work?</w:t>
      </w:r>
    </w:p>
    <w:p w14:paraId="3A07056F" w14:textId="77777777" w:rsidR="00563C40" w:rsidRPr="00E2214C" w:rsidRDefault="00563C40" w:rsidP="00563C40">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14:paraId="0105A23F" w14:textId="04AD8228" w:rsidR="00967032" w:rsidRPr="00E2214C" w:rsidRDefault="00563C40" w:rsidP="003A2D7E">
      <w:pPr>
        <w:spacing w:after="0" w:line="240" w:lineRule="auto"/>
        <w:ind w:left="720"/>
        <w:rPr>
          <w:rFonts w:ascii="Times New Roman" w:hAnsi="Times New Roman" w:cs="Times New Roman"/>
          <w:sz w:val="24"/>
          <w:szCs w:val="24"/>
        </w:rPr>
      </w:pPr>
      <w:r w:rsidRPr="00E2214C">
        <w:rPr>
          <w:rFonts w:ascii="Times New Roman" w:hAnsi="Times New Roman" w:cs="Times New Roman"/>
          <w:sz w:val="24"/>
          <w:szCs w:val="24"/>
        </w:rPr>
        <w:t>It is the responsibility of faculty members to explain how the above elements of scholarship are present in their teaching, research, and service responsibilities. A major focus, therefor</w:t>
      </w:r>
      <w:r w:rsidR="007C232C" w:rsidRPr="00E2214C">
        <w:rPr>
          <w:rFonts w:ascii="Times New Roman" w:hAnsi="Times New Roman" w:cs="Times New Roman"/>
          <w:sz w:val="24"/>
          <w:szCs w:val="24"/>
        </w:rPr>
        <w:t>e</w:t>
      </w:r>
      <w:r w:rsidRPr="00E2214C">
        <w:rPr>
          <w:rFonts w:ascii="Times New Roman" w:hAnsi="Times New Roman" w:cs="Times New Roman"/>
          <w:sz w:val="24"/>
          <w:szCs w:val="24"/>
        </w:rPr>
        <w:t xml:space="preserve">, will be the narrative that describes scholarly development. </w:t>
      </w:r>
    </w:p>
    <w:p w14:paraId="3BDA6D66" w14:textId="77777777" w:rsidR="00F2425D" w:rsidRPr="00E2214C" w:rsidRDefault="00F2425D" w:rsidP="003A2D7E">
      <w:pPr>
        <w:spacing w:after="0" w:line="240" w:lineRule="auto"/>
        <w:ind w:left="720"/>
        <w:rPr>
          <w:rFonts w:ascii="Times New Roman" w:hAnsi="Times New Roman" w:cs="Times New Roman"/>
          <w:sz w:val="24"/>
          <w:szCs w:val="24"/>
        </w:rPr>
      </w:pPr>
    </w:p>
    <w:p w14:paraId="054319AC" w14:textId="21685D92" w:rsidR="00967032" w:rsidRPr="00E2214C" w:rsidRDefault="00563C40" w:rsidP="000A2899">
      <w:pPr>
        <w:spacing w:after="0" w:line="240" w:lineRule="auto"/>
        <w:ind w:left="720"/>
        <w:rPr>
          <w:rFonts w:ascii="Times New Roman" w:hAnsi="Times New Roman" w:cs="Times New Roman"/>
          <w:sz w:val="24"/>
          <w:szCs w:val="24"/>
        </w:rPr>
      </w:pPr>
      <w:r w:rsidRPr="00E2214C">
        <w:rPr>
          <w:rFonts w:ascii="Times New Roman" w:hAnsi="Times New Roman" w:cs="Times New Roman"/>
          <w:sz w:val="24"/>
          <w:szCs w:val="24"/>
        </w:rPr>
        <w:t>Annual reviews and critical feedback to the faculty member throughout the PTE process must also address the six criteria noted above.  In addition, the annual review must address a broader view of the faculty member’s work by addressing the following two questions.</w:t>
      </w:r>
    </w:p>
    <w:p w14:paraId="43348445" w14:textId="5C2E12E2" w:rsidR="00967032" w:rsidRPr="00E2214C" w:rsidRDefault="00967032" w:rsidP="000A2899">
      <w:pPr>
        <w:pStyle w:val="ListParagraph"/>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Is the current cumulative body of work appropriate for the field and for the stage of development of the Scholar</w:t>
      </w:r>
      <w:r w:rsidR="001B7A53" w:rsidRPr="00E2214C">
        <w:rPr>
          <w:rFonts w:ascii="Times New Roman" w:eastAsia="Times New Roman" w:hAnsi="Times New Roman" w:cs="Times New Roman"/>
          <w:sz w:val="24"/>
          <w:szCs w:val="24"/>
        </w:rPr>
        <w:t>?</w:t>
      </w:r>
    </w:p>
    <w:p w14:paraId="4BB169B1" w14:textId="3F7581EF" w:rsidR="00967032" w:rsidRPr="00E2214C" w:rsidRDefault="00967032" w:rsidP="000A2899">
      <w:pPr>
        <w:pStyle w:val="ListParagraph"/>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Is there an appropriate progression and improvement of the faculty member’s scholarship</w:t>
      </w:r>
      <w:r w:rsidR="001B7A53" w:rsidRPr="00E2214C">
        <w:rPr>
          <w:rFonts w:ascii="Times New Roman" w:eastAsia="Times New Roman" w:hAnsi="Times New Roman" w:cs="Times New Roman"/>
          <w:sz w:val="24"/>
          <w:szCs w:val="24"/>
        </w:rPr>
        <w:t>?</w:t>
      </w:r>
    </w:p>
    <w:p w14:paraId="745C1F37" w14:textId="77777777" w:rsidR="001B7A53" w:rsidRPr="00E2214C" w:rsidRDefault="001B7A53" w:rsidP="000A2899">
      <w:pPr>
        <w:spacing w:after="0" w:line="240" w:lineRule="auto"/>
        <w:ind w:left="720"/>
        <w:rPr>
          <w:rFonts w:ascii="Times New Roman" w:hAnsi="Times New Roman" w:cs="Times New Roman"/>
          <w:sz w:val="24"/>
          <w:szCs w:val="24"/>
        </w:rPr>
      </w:pPr>
    </w:p>
    <w:p w14:paraId="575E3AD5" w14:textId="4694DB4D" w:rsidR="007A1981" w:rsidRPr="00E2214C" w:rsidRDefault="00B16DC3" w:rsidP="000A2899">
      <w:pPr>
        <w:pStyle w:val="ListParagraph"/>
        <w:widowControl w:val="0"/>
        <w:tabs>
          <w:tab w:val="left" w:pos="990"/>
        </w:tabs>
        <w:autoSpaceDE w:val="0"/>
        <w:autoSpaceDN w:val="0"/>
        <w:adjustRightInd w:val="0"/>
        <w:spacing w:after="0" w:line="240" w:lineRule="auto"/>
        <w:rPr>
          <w:rFonts w:ascii="Times New Roman" w:hAnsi="Times New Roman" w:cs="Times New Roman"/>
          <w:sz w:val="24"/>
          <w:szCs w:val="24"/>
        </w:rPr>
      </w:pPr>
      <w:r w:rsidRPr="00E2214C">
        <w:rPr>
          <w:rFonts w:ascii="Times New Roman" w:hAnsi="Times New Roman" w:cs="Times New Roman"/>
          <w:sz w:val="24"/>
          <w:szCs w:val="24"/>
        </w:rPr>
        <w:t>Section 3a. The Scholarship of Teaching</w:t>
      </w:r>
    </w:p>
    <w:p w14:paraId="57ADF9A1" w14:textId="77777777" w:rsidR="00B16DC3" w:rsidRPr="00E2214C" w:rsidRDefault="00B16DC3" w:rsidP="000A2899">
      <w:pPr>
        <w:pStyle w:val="ListParagraph"/>
        <w:widowControl w:val="0"/>
        <w:tabs>
          <w:tab w:val="left" w:pos="990"/>
        </w:tabs>
        <w:autoSpaceDE w:val="0"/>
        <w:autoSpaceDN w:val="0"/>
        <w:adjustRightInd w:val="0"/>
        <w:spacing w:after="0" w:line="240" w:lineRule="auto"/>
        <w:rPr>
          <w:rFonts w:ascii="Times New Roman" w:hAnsi="Times New Roman" w:cs="Times New Roman"/>
          <w:sz w:val="24"/>
          <w:szCs w:val="24"/>
        </w:rPr>
      </w:pPr>
    </w:p>
    <w:p w14:paraId="3FA650B3" w14:textId="091E137C" w:rsidR="007A1981" w:rsidRPr="00E2214C" w:rsidRDefault="00B16DC3" w:rsidP="000A2899">
      <w:pPr>
        <w:spacing w:line="240" w:lineRule="auto"/>
        <w:ind w:left="720"/>
        <w:rPr>
          <w:rFonts w:ascii="Times New Roman" w:hAnsi="Times New Roman" w:cs="Times New Roman"/>
          <w:sz w:val="24"/>
          <w:szCs w:val="24"/>
        </w:rPr>
      </w:pPr>
      <w:r w:rsidRPr="00E2214C">
        <w:rPr>
          <w:rFonts w:ascii="Times New Roman" w:hAnsi="Times New Roman" w:cs="Times New Roman"/>
          <w:sz w:val="24"/>
          <w:szCs w:val="24"/>
        </w:rPr>
        <w:t>Teaching refers to the broad area of student/faculty interaction for educational purposes, not only in the classroom but to the full range of activities which result in student development. Teaching may include outreach and extension educational programs directed primarily toward clientele outside the campus classroom. Individual interaction between the instructor and student is very important in teaching courses in construction management and engineering. The Department expects individual faculty to be effective teachers and advisors.</w:t>
      </w:r>
    </w:p>
    <w:p w14:paraId="1A55DA52" w14:textId="51D82810" w:rsidR="002C49F0" w:rsidRPr="00E2214C" w:rsidRDefault="002C49F0" w:rsidP="000A2899">
      <w:pPr>
        <w:pStyle w:val="ListParagraph"/>
        <w:widowControl w:val="0"/>
        <w:tabs>
          <w:tab w:val="left" w:pos="990"/>
        </w:tabs>
        <w:autoSpaceDE w:val="0"/>
        <w:autoSpaceDN w:val="0"/>
        <w:adjustRightInd w:val="0"/>
        <w:spacing w:after="0" w:line="240" w:lineRule="auto"/>
        <w:rPr>
          <w:rFonts w:ascii="Times New Roman" w:hAnsi="Times New Roman" w:cs="Times New Roman"/>
          <w:sz w:val="24"/>
          <w:szCs w:val="24"/>
        </w:rPr>
      </w:pPr>
      <w:r w:rsidRPr="00E2214C">
        <w:rPr>
          <w:rFonts w:ascii="Times New Roman" w:hAnsi="Times New Roman" w:cs="Times New Roman"/>
          <w:sz w:val="24"/>
          <w:szCs w:val="24"/>
        </w:rPr>
        <w:t>Section 3b</w:t>
      </w:r>
      <w:r w:rsidR="00B16DC3" w:rsidRPr="00E2214C">
        <w:rPr>
          <w:rFonts w:ascii="Times New Roman" w:hAnsi="Times New Roman" w:cs="Times New Roman"/>
          <w:sz w:val="24"/>
          <w:szCs w:val="24"/>
        </w:rPr>
        <w:t xml:space="preserve">. The Scholarship of </w:t>
      </w:r>
      <w:r w:rsidR="00EA0072" w:rsidRPr="00E2214C">
        <w:rPr>
          <w:rFonts w:ascii="Times New Roman" w:hAnsi="Times New Roman" w:cs="Times New Roman"/>
          <w:sz w:val="24"/>
          <w:szCs w:val="24"/>
        </w:rPr>
        <w:t>Research</w:t>
      </w:r>
    </w:p>
    <w:p w14:paraId="5DFC1668" w14:textId="77777777" w:rsidR="002C49F0" w:rsidRPr="00E2214C" w:rsidRDefault="002C49F0" w:rsidP="000A2899">
      <w:pPr>
        <w:pStyle w:val="ListParagraph"/>
        <w:widowControl w:val="0"/>
        <w:tabs>
          <w:tab w:val="left" w:pos="990"/>
        </w:tabs>
        <w:autoSpaceDE w:val="0"/>
        <w:autoSpaceDN w:val="0"/>
        <w:adjustRightInd w:val="0"/>
        <w:spacing w:after="0" w:line="240" w:lineRule="auto"/>
        <w:rPr>
          <w:rFonts w:ascii="Times New Roman" w:hAnsi="Times New Roman" w:cs="Times New Roman"/>
          <w:sz w:val="24"/>
          <w:szCs w:val="24"/>
        </w:rPr>
      </w:pPr>
    </w:p>
    <w:p w14:paraId="4F8DCCC1" w14:textId="70EF00BB" w:rsidR="00B16DC3" w:rsidRPr="00E2214C" w:rsidRDefault="002C49F0" w:rsidP="000A2899">
      <w:pPr>
        <w:pStyle w:val="ListParagraph"/>
        <w:widowControl w:val="0"/>
        <w:tabs>
          <w:tab w:val="left" w:pos="990"/>
        </w:tabs>
        <w:autoSpaceDE w:val="0"/>
        <w:autoSpaceDN w:val="0"/>
        <w:adjustRightInd w:val="0"/>
        <w:spacing w:after="0" w:line="240" w:lineRule="auto"/>
        <w:rPr>
          <w:rFonts w:ascii="Times New Roman" w:hAnsi="Times New Roman" w:cs="Times New Roman"/>
          <w:sz w:val="24"/>
          <w:szCs w:val="24"/>
        </w:rPr>
      </w:pPr>
      <w:r w:rsidRPr="00E2214C">
        <w:rPr>
          <w:rFonts w:ascii="Times New Roman" w:hAnsi="Times New Roman" w:cs="Times New Roman"/>
          <w:sz w:val="24"/>
          <w:szCs w:val="24"/>
        </w:rPr>
        <w:t xml:space="preserve">Research includes basic and applied research and other activities including, but not limited to, pedagogy and creative activities that are on the </w:t>
      </w:r>
      <w:r w:rsidR="008B2368" w:rsidRPr="00E2214C">
        <w:rPr>
          <w:rFonts w:ascii="Times New Roman" w:hAnsi="Times New Roman" w:cs="Times New Roman"/>
          <w:sz w:val="24"/>
          <w:szCs w:val="24"/>
        </w:rPr>
        <w:t>“</w:t>
      </w:r>
      <w:r w:rsidRPr="00E2214C">
        <w:rPr>
          <w:rFonts w:ascii="Times New Roman" w:hAnsi="Times New Roman" w:cs="Times New Roman"/>
          <w:sz w:val="24"/>
          <w:szCs w:val="24"/>
        </w:rPr>
        <w:t>frontier of knowledge</w:t>
      </w:r>
      <w:r w:rsidR="008B2368" w:rsidRPr="00E2214C">
        <w:rPr>
          <w:rFonts w:ascii="Times New Roman" w:hAnsi="Times New Roman" w:cs="Times New Roman"/>
          <w:sz w:val="24"/>
          <w:szCs w:val="24"/>
        </w:rPr>
        <w:t>”</w:t>
      </w:r>
      <w:r w:rsidRPr="00E2214C">
        <w:rPr>
          <w:rFonts w:ascii="Times New Roman" w:hAnsi="Times New Roman" w:cs="Times New Roman"/>
          <w:sz w:val="24"/>
          <w:szCs w:val="24"/>
        </w:rPr>
        <w:t xml:space="preserve"> and that could potentially have a broad impact on the professional community and society. Creative activities recognized through professional publications are equally important scholarly contributions within the construction and engineering professions. Faculty members are expected to obtain external funding to support research. The results of research and other creative processes should be shared with the professional and scientific communities. Scholarly work equivalent to conventional research may be in the form of creative activities and professional practice. Careful distinction is to be made between strictly engaging in consulting practice for income and reflective practice that includes dissemination and critical evaluation of the work before credible and scholarly audiences</w:t>
      </w:r>
      <w:r w:rsidR="00496A1F" w:rsidRPr="00E2214C">
        <w:rPr>
          <w:rFonts w:ascii="Times New Roman" w:hAnsi="Times New Roman" w:cs="Times New Roman"/>
          <w:sz w:val="24"/>
          <w:szCs w:val="24"/>
        </w:rPr>
        <w:t>.</w:t>
      </w:r>
    </w:p>
    <w:p w14:paraId="44081AE5" w14:textId="77777777" w:rsidR="002C49F0" w:rsidRPr="00E2214C" w:rsidRDefault="002C49F0" w:rsidP="000A2899">
      <w:pPr>
        <w:pStyle w:val="ListParagraph"/>
        <w:widowControl w:val="0"/>
        <w:tabs>
          <w:tab w:val="left" w:pos="990"/>
        </w:tabs>
        <w:autoSpaceDE w:val="0"/>
        <w:autoSpaceDN w:val="0"/>
        <w:adjustRightInd w:val="0"/>
        <w:spacing w:after="0" w:line="240" w:lineRule="auto"/>
        <w:rPr>
          <w:rFonts w:ascii="Times New Roman" w:hAnsi="Times New Roman" w:cs="Times New Roman"/>
          <w:sz w:val="24"/>
          <w:szCs w:val="24"/>
        </w:rPr>
      </w:pPr>
    </w:p>
    <w:p w14:paraId="0919A1F6" w14:textId="76733A42" w:rsidR="00B16DC3" w:rsidRPr="00E2214C" w:rsidRDefault="00B16DC3" w:rsidP="000A2899">
      <w:pPr>
        <w:pStyle w:val="ListParagraph"/>
        <w:widowControl w:val="0"/>
        <w:tabs>
          <w:tab w:val="left" w:pos="990"/>
        </w:tabs>
        <w:autoSpaceDE w:val="0"/>
        <w:autoSpaceDN w:val="0"/>
        <w:adjustRightInd w:val="0"/>
        <w:spacing w:after="0" w:line="240" w:lineRule="auto"/>
        <w:rPr>
          <w:rFonts w:ascii="Times New Roman" w:hAnsi="Times New Roman" w:cs="Times New Roman"/>
          <w:sz w:val="24"/>
          <w:szCs w:val="24"/>
        </w:rPr>
      </w:pPr>
      <w:r w:rsidRPr="00E2214C">
        <w:rPr>
          <w:rFonts w:ascii="Times New Roman" w:hAnsi="Times New Roman" w:cs="Times New Roman"/>
          <w:sz w:val="24"/>
          <w:szCs w:val="24"/>
        </w:rPr>
        <w:t>S</w:t>
      </w:r>
      <w:r w:rsidR="002C49F0" w:rsidRPr="00E2214C">
        <w:rPr>
          <w:rFonts w:ascii="Times New Roman" w:hAnsi="Times New Roman" w:cs="Times New Roman"/>
          <w:sz w:val="24"/>
          <w:szCs w:val="24"/>
        </w:rPr>
        <w:t>ection 3c</w:t>
      </w:r>
      <w:r w:rsidRPr="00E2214C">
        <w:rPr>
          <w:rFonts w:ascii="Times New Roman" w:hAnsi="Times New Roman" w:cs="Times New Roman"/>
          <w:sz w:val="24"/>
          <w:szCs w:val="24"/>
        </w:rPr>
        <w:t xml:space="preserve">. The Scholarship of </w:t>
      </w:r>
      <w:r w:rsidR="002C49F0" w:rsidRPr="00E2214C">
        <w:rPr>
          <w:rFonts w:ascii="Times New Roman" w:hAnsi="Times New Roman" w:cs="Times New Roman"/>
          <w:sz w:val="24"/>
          <w:szCs w:val="24"/>
        </w:rPr>
        <w:t>Service</w:t>
      </w:r>
    </w:p>
    <w:p w14:paraId="458C5296" w14:textId="77777777" w:rsidR="002C49F0" w:rsidRPr="00E2214C" w:rsidRDefault="002C49F0" w:rsidP="000A2899">
      <w:pPr>
        <w:pStyle w:val="ListParagraph"/>
        <w:widowControl w:val="0"/>
        <w:tabs>
          <w:tab w:val="left" w:pos="990"/>
        </w:tabs>
        <w:autoSpaceDE w:val="0"/>
        <w:autoSpaceDN w:val="0"/>
        <w:adjustRightInd w:val="0"/>
        <w:spacing w:after="0" w:line="240" w:lineRule="auto"/>
        <w:rPr>
          <w:rFonts w:ascii="Times New Roman" w:hAnsi="Times New Roman" w:cs="Times New Roman"/>
          <w:sz w:val="24"/>
          <w:szCs w:val="24"/>
        </w:rPr>
      </w:pPr>
    </w:p>
    <w:p w14:paraId="5C94D819" w14:textId="2619EF1C" w:rsidR="00B62A64" w:rsidRPr="00E2214C" w:rsidRDefault="002C49F0" w:rsidP="000A2899">
      <w:pPr>
        <w:spacing w:line="240" w:lineRule="auto"/>
        <w:ind w:left="720"/>
        <w:rPr>
          <w:rFonts w:ascii="Times New Roman" w:hAnsi="Times New Roman" w:cs="Times New Roman"/>
          <w:sz w:val="24"/>
          <w:szCs w:val="24"/>
        </w:rPr>
      </w:pPr>
      <w:r w:rsidRPr="00E2214C">
        <w:rPr>
          <w:rFonts w:ascii="Times New Roman" w:hAnsi="Times New Roman" w:cs="Times New Roman"/>
          <w:sz w:val="24"/>
          <w:szCs w:val="24"/>
        </w:rPr>
        <w:t>Service includes contributions to the Department, College, University, the public, and one</w:t>
      </w:r>
      <w:r w:rsidR="00BF649C" w:rsidRPr="00E2214C">
        <w:rPr>
          <w:rFonts w:ascii="Times New Roman" w:hAnsi="Times New Roman" w:cs="Times New Roman"/>
          <w:sz w:val="24"/>
          <w:szCs w:val="24"/>
        </w:rPr>
        <w:t>’</w:t>
      </w:r>
      <w:r w:rsidRPr="00E2214C">
        <w:rPr>
          <w:rFonts w:ascii="Times New Roman" w:hAnsi="Times New Roman" w:cs="Times New Roman"/>
          <w:sz w:val="24"/>
          <w:szCs w:val="24"/>
        </w:rPr>
        <w:t>s profession. Service levels should be proportionate to the faculty rank and seniority.</w:t>
      </w:r>
    </w:p>
    <w:p w14:paraId="01A890AE" w14:textId="77777777" w:rsidR="00950E9D" w:rsidRPr="00E2214C" w:rsidRDefault="00950E9D" w:rsidP="00B62A64">
      <w:pPr>
        <w:widowControl w:val="0"/>
        <w:autoSpaceDE w:val="0"/>
        <w:autoSpaceDN w:val="0"/>
        <w:adjustRightInd w:val="0"/>
        <w:spacing w:after="0" w:line="240" w:lineRule="auto"/>
        <w:rPr>
          <w:rFonts w:ascii="Times New Roman" w:eastAsia="Times New Roman" w:hAnsi="Times New Roman" w:cs="Times New Roman"/>
          <w:sz w:val="24"/>
          <w:szCs w:val="24"/>
        </w:rPr>
      </w:pPr>
    </w:p>
    <w:p w14:paraId="5533174A" w14:textId="7BA19A47" w:rsidR="001C4362" w:rsidRPr="00E2214C" w:rsidRDefault="00B62A64" w:rsidP="00B62A64">
      <w:pPr>
        <w:widowControl w:val="0"/>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Section </w:t>
      </w:r>
      <w:r w:rsidR="002C49F0" w:rsidRPr="00E2214C">
        <w:rPr>
          <w:rFonts w:ascii="Times New Roman" w:eastAsia="Times New Roman" w:hAnsi="Times New Roman" w:cs="Times New Roman"/>
          <w:sz w:val="24"/>
          <w:szCs w:val="24"/>
        </w:rPr>
        <w:t>4</w:t>
      </w:r>
      <w:r w:rsidRPr="00E2214C">
        <w:rPr>
          <w:rFonts w:ascii="Times New Roman" w:eastAsia="Times New Roman" w:hAnsi="Times New Roman" w:cs="Times New Roman"/>
          <w:sz w:val="24"/>
          <w:szCs w:val="24"/>
        </w:rPr>
        <w:t xml:space="preserve">. </w:t>
      </w:r>
      <w:r w:rsidR="002C49F0" w:rsidRPr="00E2214C">
        <w:rPr>
          <w:rFonts w:ascii="Times New Roman" w:eastAsia="Times New Roman" w:hAnsi="Times New Roman" w:cs="Times New Roman"/>
          <w:sz w:val="24"/>
          <w:szCs w:val="24"/>
        </w:rPr>
        <w:t>Evidence of Accomplishments</w:t>
      </w:r>
    </w:p>
    <w:p w14:paraId="1DD7C3F7" w14:textId="77777777" w:rsidR="002C49F0" w:rsidRPr="00E2214C" w:rsidRDefault="002C49F0" w:rsidP="00B62A64">
      <w:pPr>
        <w:widowControl w:val="0"/>
        <w:autoSpaceDE w:val="0"/>
        <w:autoSpaceDN w:val="0"/>
        <w:adjustRightInd w:val="0"/>
        <w:spacing w:after="0" w:line="240" w:lineRule="auto"/>
        <w:rPr>
          <w:rFonts w:ascii="Times New Roman" w:eastAsia="Times New Roman" w:hAnsi="Times New Roman" w:cs="Times New Roman"/>
          <w:sz w:val="24"/>
          <w:szCs w:val="24"/>
        </w:rPr>
      </w:pPr>
    </w:p>
    <w:p w14:paraId="5EB90FD2" w14:textId="35FC0808" w:rsidR="002C49F0" w:rsidRPr="00E2214C" w:rsidRDefault="002C49F0" w:rsidP="00B62A64">
      <w:pPr>
        <w:widowControl w:val="0"/>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The following items offer suggested guidelines and criteria for documenting the scholarship of teaching, research and service.</w:t>
      </w:r>
    </w:p>
    <w:p w14:paraId="2411546A" w14:textId="77777777" w:rsidR="00205F89" w:rsidRPr="00E2214C" w:rsidRDefault="00205F89" w:rsidP="00B62A64">
      <w:pPr>
        <w:widowControl w:val="0"/>
        <w:autoSpaceDE w:val="0"/>
        <w:autoSpaceDN w:val="0"/>
        <w:adjustRightInd w:val="0"/>
        <w:spacing w:after="0" w:line="240" w:lineRule="auto"/>
        <w:rPr>
          <w:rFonts w:ascii="Times New Roman" w:eastAsia="Times New Roman" w:hAnsi="Times New Roman" w:cs="Times New Roman"/>
          <w:sz w:val="24"/>
          <w:szCs w:val="24"/>
        </w:rPr>
      </w:pPr>
    </w:p>
    <w:p w14:paraId="47E03AE0" w14:textId="625026D7" w:rsidR="009B78B0" w:rsidRPr="00E2214C" w:rsidRDefault="002C49F0"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4a. The Scholarship of Teachin</w:t>
      </w:r>
      <w:r w:rsidR="009B78B0" w:rsidRPr="00E2214C">
        <w:rPr>
          <w:rFonts w:ascii="Times New Roman" w:eastAsia="Times New Roman" w:hAnsi="Times New Roman" w:cs="Times New Roman"/>
          <w:sz w:val="24"/>
          <w:szCs w:val="24"/>
        </w:rPr>
        <w:t>g</w:t>
      </w:r>
    </w:p>
    <w:p w14:paraId="011FB167" w14:textId="4FEC7EA1" w:rsidR="001129BF" w:rsidRPr="00E2214C" w:rsidRDefault="001129BF" w:rsidP="001129BF">
      <w:pPr>
        <w:widowControl w:val="0"/>
        <w:autoSpaceDE w:val="0"/>
        <w:autoSpaceDN w:val="0"/>
        <w:adjustRightInd w:val="0"/>
        <w:spacing w:after="120" w:line="240" w:lineRule="auto"/>
        <w:ind w:left="720"/>
        <w:rPr>
          <w:rFonts w:ascii="Times New Roman" w:hAnsi="Times New Roman" w:cs="Times New Roman"/>
          <w:sz w:val="24"/>
          <w:szCs w:val="24"/>
        </w:rPr>
      </w:pPr>
      <w:r w:rsidRPr="00E2214C">
        <w:rPr>
          <w:rFonts w:ascii="Times New Roman" w:hAnsi="Times New Roman" w:cs="Times New Roman"/>
          <w:sz w:val="24"/>
          <w:szCs w:val="24"/>
        </w:rPr>
        <w:t>The following are primary examples of supporting evidence that can be referenced to demonstrate teaching and advising scholarship</w:t>
      </w:r>
      <w:r w:rsidR="00F144F8" w:rsidRPr="00E2214C">
        <w:rPr>
          <w:rFonts w:ascii="Times New Roman" w:hAnsi="Times New Roman" w:cs="Times New Roman"/>
          <w:sz w:val="24"/>
          <w:szCs w:val="24"/>
        </w:rPr>
        <w:t xml:space="preserve"> for both on campus and online teaching and advising activities</w:t>
      </w:r>
      <w:r w:rsidRPr="00E2214C">
        <w:rPr>
          <w:rFonts w:ascii="Times New Roman" w:hAnsi="Times New Roman" w:cs="Times New Roman"/>
          <w:sz w:val="24"/>
          <w:szCs w:val="24"/>
        </w:rPr>
        <w:t>:</w:t>
      </w:r>
    </w:p>
    <w:p w14:paraId="536BB1C2" w14:textId="77777777" w:rsidR="00426AE7" w:rsidRPr="00E2214C" w:rsidRDefault="00426AE7" w:rsidP="00426AE7">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Peer and/or other professional evaluations of: course content, teaching methods, improvement of instructional programs, and course or program assessment </w:t>
      </w:r>
    </w:p>
    <w:p w14:paraId="658F49A6" w14:textId="77777777" w:rsidR="00426AE7" w:rsidRPr="00E2214C" w:rsidRDefault="00426AE7" w:rsidP="00426AE7">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Student evaluation of teaching effectiveness including summary data for all required Student Rating of Instruction questions</w:t>
      </w:r>
    </w:p>
    <w:p w14:paraId="45094DE8" w14:textId="77777777" w:rsidR="00426AE7" w:rsidRPr="00E2214C" w:rsidRDefault="00426AE7" w:rsidP="00426AE7">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Summaries of feedback from student evaluations of advising</w:t>
      </w:r>
    </w:p>
    <w:p w14:paraId="10FE86A4" w14:textId="77777777" w:rsidR="00426AE7" w:rsidRPr="00E2214C" w:rsidRDefault="00426AE7" w:rsidP="00426AE7">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Presentations at regional and national meetings on innovative instructional and assessment techniques </w:t>
      </w:r>
    </w:p>
    <w:p w14:paraId="0F7FEE63" w14:textId="77777777" w:rsidR="00426AE7" w:rsidRPr="00E2214C" w:rsidRDefault="00426AE7" w:rsidP="00426AE7">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Other documentation of innovative methods to evaluate student learning</w:t>
      </w:r>
    </w:p>
    <w:p w14:paraId="39E91745" w14:textId="77777777" w:rsidR="00426AE7" w:rsidRPr="00E2214C" w:rsidRDefault="00426AE7" w:rsidP="00426AE7">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Course development including faculty or administrative evaluation      </w:t>
      </w:r>
    </w:p>
    <w:p w14:paraId="3E2E7A99" w14:textId="77777777" w:rsidR="00426AE7" w:rsidRPr="00E2214C" w:rsidRDefault="00426AE7" w:rsidP="00426AE7">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Supervision of theses and dissertations</w:t>
      </w:r>
    </w:p>
    <w:p w14:paraId="182212D5" w14:textId="77777777" w:rsidR="00426AE7" w:rsidRPr="00E2214C" w:rsidRDefault="00426AE7" w:rsidP="00426AE7">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Active involvement in accreditation activities</w:t>
      </w:r>
    </w:p>
    <w:p w14:paraId="6E392149" w14:textId="77777777" w:rsidR="00426AE7" w:rsidRPr="00E2214C" w:rsidRDefault="00426AE7" w:rsidP="00426AE7">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FA16EAD" w14:textId="268FD11B" w:rsidR="00F144F8" w:rsidRPr="00E2214C" w:rsidRDefault="00426AE7" w:rsidP="00F144F8">
      <w:pPr>
        <w:widowControl w:val="0"/>
        <w:autoSpaceDE w:val="0"/>
        <w:autoSpaceDN w:val="0"/>
        <w:adjustRightInd w:val="0"/>
        <w:spacing w:after="120" w:line="240" w:lineRule="auto"/>
        <w:ind w:left="720"/>
        <w:rPr>
          <w:rFonts w:ascii="Times New Roman" w:hAnsi="Times New Roman" w:cs="Times New Roman"/>
          <w:sz w:val="24"/>
          <w:szCs w:val="24"/>
        </w:rPr>
      </w:pPr>
      <w:r w:rsidRPr="00E2214C">
        <w:rPr>
          <w:rFonts w:ascii="Times New Roman" w:hAnsi="Times New Roman" w:cs="Times New Roman"/>
          <w:sz w:val="24"/>
          <w:szCs w:val="24"/>
        </w:rPr>
        <w:t>The following are secondary examples of supporting evidence that can be referenced to demonstrate teaching and advising scholarship</w:t>
      </w:r>
      <w:r w:rsidR="00F144F8" w:rsidRPr="00E2214C">
        <w:rPr>
          <w:rFonts w:ascii="Times New Roman" w:hAnsi="Times New Roman" w:cs="Times New Roman"/>
          <w:sz w:val="24"/>
          <w:szCs w:val="24"/>
        </w:rPr>
        <w:t xml:space="preserve"> for both on campus and online teaching and advising activities:</w:t>
      </w:r>
    </w:p>
    <w:p w14:paraId="547C88F1" w14:textId="77777777" w:rsidR="00426AE7" w:rsidRPr="00E2214C" w:rsidRDefault="00426AE7" w:rsidP="00426AE7">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Receipt of awards or special recognition for effective teaching </w:t>
      </w:r>
    </w:p>
    <w:p w14:paraId="489E5B45" w14:textId="77777777" w:rsidR="00426AE7" w:rsidRPr="00E2214C" w:rsidRDefault="00426AE7" w:rsidP="00426AE7">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Receipt of awards or special recognition for advising students and/or organizations</w:t>
      </w:r>
    </w:p>
    <w:p w14:paraId="7E20381C" w14:textId="77777777" w:rsidR="00426AE7" w:rsidRPr="00E2214C" w:rsidRDefault="00426AE7" w:rsidP="00426AE7">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Offering or contributing to continuing education courses and workshops including evaluation of course content and delivery   </w:t>
      </w:r>
    </w:p>
    <w:p w14:paraId="35158667" w14:textId="700DA74A" w:rsidR="00426AE7" w:rsidRPr="00E2214C" w:rsidRDefault="00426AE7" w:rsidP="00426AE7">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Participation in professional development related to improving teaching effectiveness </w:t>
      </w:r>
    </w:p>
    <w:p w14:paraId="0BFF9FC8" w14:textId="77777777" w:rsidR="002163A4" w:rsidRPr="00E2214C" w:rsidRDefault="00EC5CF1" w:rsidP="002163A4">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Online advising feedback</w:t>
      </w:r>
    </w:p>
    <w:p w14:paraId="233A7EDA" w14:textId="77777777" w:rsidR="002163A4" w:rsidRPr="00E2214C" w:rsidRDefault="002C49F0" w:rsidP="002163A4">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Presentations at Professional Meetings and Conferences (that are related to teaching). This could also include presentations at pedagogical luncheons, </w:t>
      </w:r>
      <w:r w:rsidR="00D93808" w:rsidRPr="00E2214C">
        <w:rPr>
          <w:rFonts w:ascii="Times New Roman" w:hAnsi="Times New Roman" w:cs="Times New Roman"/>
          <w:sz w:val="24"/>
          <w:szCs w:val="24"/>
        </w:rPr>
        <w:t>North Dakota State University</w:t>
      </w:r>
      <w:r w:rsidRPr="00E2214C">
        <w:rPr>
          <w:rFonts w:ascii="Times New Roman" w:eastAsia="Times New Roman" w:hAnsi="Times New Roman" w:cs="Times New Roman"/>
          <w:sz w:val="24"/>
          <w:szCs w:val="24"/>
        </w:rPr>
        <w:t xml:space="preserve"> workshops, or external teaching seminars/workshops.</w:t>
      </w:r>
    </w:p>
    <w:p w14:paraId="3F439F99" w14:textId="16212B7E" w:rsidR="002163A4" w:rsidRPr="00E2214C" w:rsidRDefault="002C49F0" w:rsidP="002163A4">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Attendance at professional teaching workshops (NETI, ITUE, etc.).</w:t>
      </w:r>
      <w:r w:rsidR="00993BF6" w:rsidRPr="00E2214C">
        <w:rPr>
          <w:rFonts w:ascii="Times New Roman" w:eastAsia="Times New Roman" w:hAnsi="Times New Roman" w:cs="Times New Roman"/>
          <w:sz w:val="24"/>
          <w:szCs w:val="24"/>
        </w:rPr>
        <w:t xml:space="preserve"> </w:t>
      </w:r>
      <w:r w:rsidRPr="00E2214C">
        <w:rPr>
          <w:rFonts w:ascii="Times New Roman" w:eastAsia="Times New Roman" w:hAnsi="Times New Roman" w:cs="Times New Roman"/>
          <w:sz w:val="24"/>
          <w:szCs w:val="24"/>
        </w:rPr>
        <w:t>Documented activities and methods that bring professional practice and ethics to the classroom. Development of innovative methods to evaluate student performance, including an assessment of the method(s).</w:t>
      </w:r>
    </w:p>
    <w:p w14:paraId="07FAFB9E" w14:textId="204E86C0" w:rsidR="002163A4" w:rsidRPr="00E2214C" w:rsidRDefault="002C49F0" w:rsidP="002163A4">
      <w:pPr>
        <w:widowControl w:val="0"/>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Documented implementation of new teaching learning techniques in the classroom and the effectiveness of these techniques.</w:t>
      </w:r>
    </w:p>
    <w:p w14:paraId="704288AB" w14:textId="42939A11" w:rsidR="002C49F0" w:rsidRPr="00E2214C" w:rsidRDefault="002C49F0" w:rsidP="002163A4">
      <w:pPr>
        <w:widowControl w:val="0"/>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Documented course revisions that are necessary in order to stay current with technology, practice, and theory.</w:t>
      </w:r>
    </w:p>
    <w:p w14:paraId="4381FDAF" w14:textId="65E9A2BB" w:rsidR="002C49F0" w:rsidRPr="00E2214C" w:rsidRDefault="002C49F0" w:rsidP="002163A4">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Development, delivery and documented evaluations of continuing education courses and workshops including evaluation of content and the ability to communicate. Commitment to teaching and student learning as demonstrated by annual participation in pedagogical development activities which include: participation in </w:t>
      </w:r>
      <w:r w:rsidR="00D93808" w:rsidRPr="00E2214C">
        <w:rPr>
          <w:rFonts w:ascii="Times New Roman" w:hAnsi="Times New Roman" w:cs="Times New Roman"/>
          <w:sz w:val="24"/>
          <w:szCs w:val="24"/>
        </w:rPr>
        <w:t>North Dakota State University</w:t>
      </w:r>
      <w:r w:rsidRPr="00E2214C">
        <w:rPr>
          <w:rFonts w:ascii="Times New Roman" w:eastAsia="Times New Roman" w:hAnsi="Times New Roman" w:cs="Times New Roman"/>
          <w:sz w:val="24"/>
          <w:szCs w:val="24"/>
        </w:rPr>
        <w:t xml:space="preserve"> professional development programs (pedagogical luncheons, faculty workshops. peer review of teaching program, faculty mentor program, etc.); participation in training sessions (Blackboard, PRS, etc.).</w:t>
      </w:r>
    </w:p>
    <w:p w14:paraId="6CEDFC43" w14:textId="77777777" w:rsidR="002C49F0" w:rsidRPr="00E2214C" w:rsidRDefault="002C49F0" w:rsidP="002163A4">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Advising student organizations (regional, national, or international).</w:t>
      </w:r>
    </w:p>
    <w:p w14:paraId="08B61228" w14:textId="00F38071" w:rsidR="002C49F0" w:rsidRPr="00E2214C" w:rsidRDefault="002C49F0" w:rsidP="002163A4">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Peer evaluation of advising activities.</w:t>
      </w:r>
    </w:p>
    <w:p w14:paraId="0A39FF2A" w14:textId="77777777" w:rsidR="002C49F0" w:rsidRPr="00E2214C" w:rsidRDefault="002C49F0" w:rsidP="009B78B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6156FB82" w14:textId="77777777" w:rsidR="002C49F0" w:rsidRPr="00E2214C" w:rsidRDefault="002C49F0"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4b. The Scholarship of Research</w:t>
      </w:r>
    </w:p>
    <w:p w14:paraId="552343DB" w14:textId="77777777" w:rsidR="002C49F0" w:rsidRPr="00E2214C" w:rsidRDefault="002C49F0"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600D0436" w14:textId="77777777" w:rsidR="00990CDB" w:rsidRPr="00E2214C" w:rsidRDefault="00990CDB" w:rsidP="00990CDB">
      <w:pPr>
        <w:widowControl w:val="0"/>
        <w:autoSpaceDE w:val="0"/>
        <w:autoSpaceDN w:val="0"/>
        <w:adjustRightInd w:val="0"/>
        <w:spacing w:after="120" w:line="240" w:lineRule="auto"/>
        <w:ind w:left="720"/>
        <w:rPr>
          <w:rFonts w:ascii="Times New Roman" w:hAnsi="Times New Roman" w:cs="Times New Roman"/>
          <w:sz w:val="24"/>
          <w:szCs w:val="24"/>
        </w:rPr>
      </w:pPr>
      <w:r w:rsidRPr="00E2214C">
        <w:rPr>
          <w:rFonts w:ascii="Times New Roman" w:hAnsi="Times New Roman" w:cs="Times New Roman"/>
          <w:sz w:val="24"/>
          <w:szCs w:val="24"/>
        </w:rPr>
        <w:t>The following are primary examples of supporting evidence that can be referenced to demonstrate scholarship of research:</w:t>
      </w:r>
    </w:p>
    <w:p w14:paraId="6E67709E" w14:textId="77777777" w:rsidR="00990CDB" w:rsidRPr="00E2214C" w:rsidRDefault="00990CDB" w:rsidP="00990CDB">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External peer evaluations of faculty scholarly research contributions such as evaluations of research proposals and reviews of manuscripts (required)</w:t>
      </w:r>
    </w:p>
    <w:p w14:paraId="115857E9" w14:textId="77777777" w:rsidR="00990CDB" w:rsidRPr="00E2214C" w:rsidRDefault="00990CDB" w:rsidP="00990CDB">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Pursuit and success in obtaining external funding to support scholarly research goals </w:t>
      </w:r>
    </w:p>
    <w:p w14:paraId="05313886" w14:textId="39DC3D10" w:rsidR="00990CDB" w:rsidRPr="00E2214C" w:rsidRDefault="00990CDB" w:rsidP="00990CDB">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Publication of original work related to the individual's scholarly goals in books and </w:t>
      </w:r>
      <w:r w:rsidR="000B1F66" w:rsidRPr="00E2214C">
        <w:rPr>
          <w:rFonts w:ascii="Times New Roman" w:eastAsia="Times New Roman" w:hAnsi="Times New Roman" w:cs="Times New Roman"/>
          <w:sz w:val="24"/>
          <w:szCs w:val="24"/>
        </w:rPr>
        <w:t xml:space="preserve">fully </w:t>
      </w:r>
      <w:r w:rsidRPr="00E2214C">
        <w:rPr>
          <w:rFonts w:ascii="Times New Roman" w:eastAsia="Times New Roman" w:hAnsi="Times New Roman" w:cs="Times New Roman"/>
          <w:sz w:val="24"/>
          <w:szCs w:val="24"/>
        </w:rPr>
        <w:t>refereed archival</w:t>
      </w:r>
      <w:r w:rsidR="000B1F66" w:rsidRPr="00E2214C">
        <w:rPr>
          <w:rFonts w:ascii="Times New Roman" w:eastAsia="Times New Roman" w:hAnsi="Times New Roman" w:cs="Times New Roman"/>
          <w:sz w:val="24"/>
          <w:szCs w:val="24"/>
        </w:rPr>
        <w:t xml:space="preserve"> journal and conference </w:t>
      </w:r>
      <w:r w:rsidRPr="00E2214C">
        <w:rPr>
          <w:rFonts w:ascii="Times New Roman" w:eastAsia="Times New Roman" w:hAnsi="Times New Roman" w:cs="Times New Roman"/>
          <w:sz w:val="24"/>
          <w:szCs w:val="24"/>
        </w:rPr>
        <w:t>publications</w:t>
      </w:r>
    </w:p>
    <w:p w14:paraId="4C522CF8" w14:textId="77777777" w:rsidR="00990CDB" w:rsidRPr="00E2214C" w:rsidRDefault="00990CDB" w:rsidP="00990CDB">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Effective direction of graduate students toward completion of dissertations and theses </w:t>
      </w:r>
    </w:p>
    <w:p w14:paraId="0793FA18" w14:textId="77777777" w:rsidR="00990CDB" w:rsidRPr="00E2214C" w:rsidRDefault="00990CDB" w:rsidP="00990CDB">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Invited technical presentations at national and international conferences</w:t>
      </w:r>
    </w:p>
    <w:p w14:paraId="52EE0F95" w14:textId="77777777" w:rsidR="00990CDB" w:rsidRPr="00E2214C" w:rsidRDefault="00990CDB" w:rsidP="00990CDB">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Collaborative investigations with industrial partners</w:t>
      </w:r>
    </w:p>
    <w:p w14:paraId="11D8AF0F" w14:textId="77777777" w:rsidR="00990CDB" w:rsidRPr="00E2214C" w:rsidRDefault="00990CDB" w:rsidP="00990CDB">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Registration of patents </w:t>
      </w:r>
    </w:p>
    <w:p w14:paraId="40C08374" w14:textId="7CA3D570" w:rsidR="00990CDB" w:rsidRPr="00E2214C" w:rsidRDefault="000B1F66" w:rsidP="00990CDB">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Procurement </w:t>
      </w:r>
      <w:r w:rsidR="00990CDB" w:rsidRPr="00E2214C">
        <w:rPr>
          <w:rFonts w:ascii="Times New Roman" w:eastAsia="Times New Roman" w:hAnsi="Times New Roman" w:cs="Times New Roman"/>
          <w:sz w:val="24"/>
          <w:szCs w:val="24"/>
        </w:rPr>
        <w:t xml:space="preserve">of </w:t>
      </w:r>
      <w:r w:rsidRPr="00E2214C">
        <w:rPr>
          <w:rFonts w:ascii="Times New Roman" w:eastAsia="Times New Roman" w:hAnsi="Times New Roman" w:cs="Times New Roman"/>
          <w:sz w:val="24"/>
          <w:szCs w:val="24"/>
        </w:rPr>
        <w:t xml:space="preserve">research </w:t>
      </w:r>
      <w:r w:rsidR="00990CDB" w:rsidRPr="00E2214C">
        <w:rPr>
          <w:rFonts w:ascii="Times New Roman" w:eastAsia="Times New Roman" w:hAnsi="Times New Roman" w:cs="Times New Roman"/>
          <w:sz w:val="24"/>
          <w:szCs w:val="24"/>
        </w:rPr>
        <w:t>infrastructure to serve as a platform to support scholarly research goals</w:t>
      </w:r>
    </w:p>
    <w:p w14:paraId="347FCB0A" w14:textId="77777777" w:rsidR="00990CDB" w:rsidRPr="00E2214C" w:rsidRDefault="00990CDB" w:rsidP="00990CDB">
      <w:pPr>
        <w:widowControl w:val="0"/>
        <w:autoSpaceDE w:val="0"/>
        <w:autoSpaceDN w:val="0"/>
        <w:adjustRightInd w:val="0"/>
        <w:spacing w:after="0" w:line="240" w:lineRule="auto"/>
        <w:rPr>
          <w:rFonts w:ascii="Times New Roman" w:eastAsia="Times New Roman" w:hAnsi="Times New Roman" w:cs="Times New Roman"/>
          <w:sz w:val="24"/>
          <w:szCs w:val="24"/>
        </w:rPr>
      </w:pPr>
    </w:p>
    <w:p w14:paraId="259D0691" w14:textId="77777777" w:rsidR="00990CDB" w:rsidRPr="00E2214C" w:rsidRDefault="00990CDB" w:rsidP="00990CDB">
      <w:pPr>
        <w:widowControl w:val="0"/>
        <w:autoSpaceDE w:val="0"/>
        <w:autoSpaceDN w:val="0"/>
        <w:adjustRightInd w:val="0"/>
        <w:spacing w:after="120" w:line="240" w:lineRule="auto"/>
        <w:ind w:left="720"/>
        <w:rPr>
          <w:rFonts w:ascii="Times New Roman" w:hAnsi="Times New Roman" w:cs="Times New Roman"/>
          <w:sz w:val="24"/>
          <w:szCs w:val="24"/>
        </w:rPr>
      </w:pPr>
      <w:r w:rsidRPr="00E2214C">
        <w:rPr>
          <w:rFonts w:ascii="Times New Roman" w:hAnsi="Times New Roman" w:cs="Times New Roman"/>
          <w:sz w:val="24"/>
          <w:szCs w:val="24"/>
        </w:rPr>
        <w:t>The following are secondary examples of supporting evidence that can be referenced to demonstrate scholarship of research:</w:t>
      </w:r>
    </w:p>
    <w:p w14:paraId="04C83D03" w14:textId="77777777" w:rsidR="00990CDB" w:rsidRPr="00E2214C" w:rsidRDefault="00990CDB" w:rsidP="00990CDB">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Presentation of original work related to the individual's scholarly goals at regional, national, or international conferences</w:t>
      </w:r>
    </w:p>
    <w:p w14:paraId="10D95D81" w14:textId="77777777" w:rsidR="00990CDB" w:rsidRPr="00E2214C" w:rsidRDefault="00990CDB" w:rsidP="00990CDB">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Externally requested technical reports</w:t>
      </w:r>
    </w:p>
    <w:p w14:paraId="7DE4E74A" w14:textId="77777777" w:rsidR="00990CDB" w:rsidRPr="00E2214C" w:rsidRDefault="00990CDB" w:rsidP="00990CDB">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Awards or other recognition within the faculty member’s discipline for research accomplishments</w:t>
      </w:r>
    </w:p>
    <w:p w14:paraId="3F6E0C96" w14:textId="2A1D0C71" w:rsidR="00554828" w:rsidRPr="00E2214C" w:rsidRDefault="00990CDB" w:rsidP="00FF403E">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Participation in multidisciplinary and intercollegiate research activities</w:t>
      </w:r>
      <w:r w:rsidR="00554828" w:rsidRPr="00E2214C">
        <w:rPr>
          <w:rFonts w:ascii="Times New Roman" w:eastAsia="Times New Roman" w:hAnsi="Times New Roman" w:cs="Times New Roman"/>
          <w:sz w:val="24"/>
          <w:szCs w:val="24"/>
        </w:rPr>
        <w:t>.</w:t>
      </w:r>
    </w:p>
    <w:p w14:paraId="7BE5A0AB" w14:textId="77777777" w:rsidR="00554828" w:rsidRPr="00E2214C" w:rsidRDefault="00554828" w:rsidP="00554828">
      <w:pPr>
        <w:widowControl w:val="0"/>
        <w:numPr>
          <w:ilvl w:val="0"/>
          <w:numId w:val="18"/>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Invited technical presentations to regional, national and international conferences.</w:t>
      </w:r>
    </w:p>
    <w:p w14:paraId="3351B995" w14:textId="77777777" w:rsidR="00554828" w:rsidRPr="00E2214C" w:rsidRDefault="00554828" w:rsidP="00554828">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Publications of books, and registration of patents.</w:t>
      </w:r>
    </w:p>
    <w:p w14:paraId="54307AC0" w14:textId="6A401674" w:rsidR="00554828" w:rsidRPr="00E2214C" w:rsidRDefault="00554828" w:rsidP="00554828">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Publica</w:t>
      </w:r>
      <w:r w:rsidR="00291AE5" w:rsidRPr="00E2214C">
        <w:rPr>
          <w:rFonts w:ascii="Times New Roman" w:eastAsia="Times New Roman" w:hAnsi="Times New Roman" w:cs="Times New Roman"/>
          <w:sz w:val="24"/>
          <w:szCs w:val="24"/>
        </w:rPr>
        <w:t xml:space="preserve">tions of non-refereed journals, </w:t>
      </w:r>
      <w:r w:rsidRPr="00E2214C">
        <w:rPr>
          <w:rFonts w:ascii="Times New Roman" w:eastAsia="Times New Roman" w:hAnsi="Times New Roman" w:cs="Times New Roman"/>
          <w:sz w:val="24"/>
          <w:szCs w:val="24"/>
        </w:rPr>
        <w:t xml:space="preserve">conference proceedings, and technical research reports, etc. </w:t>
      </w:r>
    </w:p>
    <w:p w14:paraId="62E20CDC" w14:textId="77777777" w:rsidR="00554828" w:rsidRPr="00E2214C" w:rsidRDefault="00554828" w:rsidP="00554828">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Written external evaluations of faculty scholarly contributions and efforts.</w:t>
      </w:r>
    </w:p>
    <w:p w14:paraId="04515672" w14:textId="2C90DACD" w:rsidR="00554828" w:rsidRPr="00E2214C" w:rsidRDefault="00554828" w:rsidP="00554828">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Awards or commendations for research accomplishments or recognition of creative activities.</w:t>
      </w:r>
    </w:p>
    <w:p w14:paraId="368A5739" w14:textId="77777777" w:rsidR="00990CDB" w:rsidRPr="00E2214C" w:rsidRDefault="00990CDB" w:rsidP="00990CDB">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7440F594" w14:textId="77777777" w:rsidR="00990CDB" w:rsidRPr="00E2214C" w:rsidRDefault="00990CDB" w:rsidP="00990CDB">
      <w:pPr>
        <w:widowControl w:val="0"/>
        <w:autoSpaceDE w:val="0"/>
        <w:autoSpaceDN w:val="0"/>
        <w:adjustRightInd w:val="0"/>
        <w:spacing w:after="120" w:line="240" w:lineRule="auto"/>
        <w:ind w:left="720"/>
        <w:rPr>
          <w:rFonts w:ascii="Times New Roman" w:hAnsi="Times New Roman" w:cs="Times New Roman"/>
          <w:sz w:val="24"/>
          <w:szCs w:val="24"/>
        </w:rPr>
      </w:pPr>
      <w:r w:rsidRPr="00E2214C">
        <w:rPr>
          <w:rFonts w:ascii="Times New Roman" w:hAnsi="Times New Roman" w:cs="Times New Roman"/>
          <w:sz w:val="24"/>
          <w:szCs w:val="24"/>
        </w:rPr>
        <w:t xml:space="preserve">The following are examples of supporting evidence that may be used to demonstrate research leadership: </w:t>
      </w:r>
    </w:p>
    <w:p w14:paraId="7B1A20BA" w14:textId="77777777" w:rsidR="00990CDB" w:rsidRPr="00E2214C" w:rsidRDefault="00990CDB" w:rsidP="005D6DD0">
      <w:pPr>
        <w:widowControl w:val="0"/>
        <w:numPr>
          <w:ilvl w:val="0"/>
          <w:numId w:val="27"/>
        </w:numPr>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A strong record of publication citations</w:t>
      </w:r>
    </w:p>
    <w:p w14:paraId="34668A6A" w14:textId="77777777" w:rsidR="00990CDB" w:rsidRPr="00E2214C" w:rsidRDefault="00990CDB" w:rsidP="005D6DD0">
      <w:pPr>
        <w:widowControl w:val="0"/>
        <w:numPr>
          <w:ilvl w:val="0"/>
          <w:numId w:val="27"/>
        </w:numPr>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Invitations to speak at national or international meetings</w:t>
      </w:r>
    </w:p>
    <w:p w14:paraId="5CD8CE50" w14:textId="2B65AA4F" w:rsidR="00990CDB" w:rsidRPr="00E2214C" w:rsidRDefault="00990CDB" w:rsidP="005D6DD0">
      <w:pPr>
        <w:widowControl w:val="0"/>
        <w:numPr>
          <w:ilvl w:val="0"/>
          <w:numId w:val="27"/>
        </w:numPr>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Holding leadership positions </w:t>
      </w:r>
      <w:r w:rsidR="00A158D4" w:rsidRPr="00E2214C">
        <w:rPr>
          <w:rFonts w:ascii="Times New Roman" w:eastAsia="Times New Roman" w:hAnsi="Times New Roman" w:cs="Times New Roman"/>
          <w:sz w:val="24"/>
          <w:szCs w:val="24"/>
        </w:rPr>
        <w:t>on committees a</w:t>
      </w:r>
      <w:r w:rsidR="00F92777" w:rsidRPr="00E2214C">
        <w:rPr>
          <w:rFonts w:ascii="Times New Roman" w:eastAsia="Times New Roman" w:hAnsi="Times New Roman" w:cs="Times New Roman"/>
          <w:sz w:val="24"/>
          <w:szCs w:val="24"/>
        </w:rPr>
        <w:t>t any level</w:t>
      </w:r>
    </w:p>
    <w:p w14:paraId="133D5FD1" w14:textId="77777777" w:rsidR="005D6DD0" w:rsidRPr="00E2214C" w:rsidRDefault="00990CDB" w:rsidP="005D6DD0">
      <w:pPr>
        <w:widowControl w:val="0"/>
        <w:numPr>
          <w:ilvl w:val="0"/>
          <w:numId w:val="27"/>
        </w:numPr>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Developing or directing national collaborative research programs</w:t>
      </w:r>
    </w:p>
    <w:p w14:paraId="156157C6" w14:textId="77777777" w:rsidR="002C49F0" w:rsidRPr="00E2214C" w:rsidRDefault="002C49F0"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9D645D4" w14:textId="77777777" w:rsidR="002C49F0" w:rsidRPr="00E2214C" w:rsidRDefault="002C49F0"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4c. The Scholarship of Service</w:t>
      </w:r>
    </w:p>
    <w:p w14:paraId="29AC4A5D" w14:textId="77777777" w:rsidR="002C49F0" w:rsidRPr="00E2214C" w:rsidRDefault="002C49F0"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6C4199E7" w14:textId="565DE436" w:rsidR="002C49F0" w:rsidRPr="00E2214C" w:rsidRDefault="002C49F0"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The scholarship of service consists of documented evidence of contributions to the Department, College, University, the public, and one</w:t>
      </w:r>
      <w:r w:rsidR="00BF649C"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 xml:space="preserve">s profession. Service levels should be proportionate to the faculty rank and seniority. Leadership within regional, national and international professional organizations is significant. </w:t>
      </w:r>
    </w:p>
    <w:p w14:paraId="51AD9598" w14:textId="77777777" w:rsidR="002C49F0" w:rsidRPr="00E2214C" w:rsidRDefault="002C49F0"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F3B19AE" w14:textId="77777777" w:rsidR="000F5EFF" w:rsidRPr="00E2214C" w:rsidRDefault="000F5EFF" w:rsidP="000F5EFF">
      <w:pPr>
        <w:widowControl w:val="0"/>
        <w:autoSpaceDE w:val="0"/>
        <w:autoSpaceDN w:val="0"/>
        <w:adjustRightInd w:val="0"/>
        <w:spacing w:after="120" w:line="240" w:lineRule="auto"/>
        <w:ind w:left="720"/>
        <w:rPr>
          <w:rFonts w:ascii="Times New Roman" w:hAnsi="Times New Roman" w:cs="Times New Roman"/>
          <w:sz w:val="24"/>
          <w:szCs w:val="24"/>
        </w:rPr>
      </w:pPr>
      <w:r w:rsidRPr="00E2214C">
        <w:rPr>
          <w:rFonts w:ascii="Times New Roman" w:hAnsi="Times New Roman" w:cs="Times New Roman"/>
          <w:sz w:val="24"/>
          <w:szCs w:val="24"/>
        </w:rPr>
        <w:t>The following activities are primary examples of supporting evidence that can be used to demonstrate scholarship of service:</w:t>
      </w:r>
    </w:p>
    <w:p w14:paraId="3954F490" w14:textId="77777777" w:rsidR="000F5EFF" w:rsidRPr="00E2214C" w:rsidRDefault="000F5EFF" w:rsidP="000F5EFF">
      <w:pPr>
        <w:widowControl w:val="0"/>
        <w:numPr>
          <w:ilvl w:val="0"/>
          <w:numId w:val="19"/>
        </w:numPr>
        <w:autoSpaceDE w:val="0"/>
        <w:autoSpaceDN w:val="0"/>
        <w:adjustRightInd w:val="0"/>
        <w:spacing w:after="16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Institutional service at the level of Department, College and/or University such as faculty governance, formulation of policies, and administrative responsibilities </w:t>
      </w:r>
    </w:p>
    <w:p w14:paraId="04BB9DF2" w14:textId="698A116F" w:rsidR="00F067AA" w:rsidRPr="00E2214C" w:rsidRDefault="00F067AA" w:rsidP="000F5EFF">
      <w:pPr>
        <w:widowControl w:val="0"/>
        <w:numPr>
          <w:ilvl w:val="0"/>
          <w:numId w:val="19"/>
        </w:numPr>
        <w:autoSpaceDE w:val="0"/>
        <w:autoSpaceDN w:val="0"/>
        <w:adjustRightInd w:val="0"/>
        <w:spacing w:after="160" w:line="240" w:lineRule="auto"/>
        <w:contextualSpacing/>
        <w:rPr>
          <w:rFonts w:ascii="Times New Roman" w:eastAsia="Times New Roman" w:hAnsi="Times New Roman" w:cs="Times New Roman"/>
          <w:sz w:val="24"/>
          <w:szCs w:val="24"/>
        </w:rPr>
      </w:pPr>
      <w:r w:rsidRPr="00E2214C">
        <w:rPr>
          <w:rFonts w:ascii="Times New Roman" w:hAnsi="Times New Roman" w:cs="Times New Roman"/>
          <w:bCs/>
          <w:sz w:val="24"/>
          <w:szCs w:val="24"/>
        </w:rPr>
        <w:t>Contributions to fostering a campus climate that supports and respects faculty, staff, and students who have diverse cultures, backgrounds, and points of view</w:t>
      </w:r>
    </w:p>
    <w:p w14:paraId="0B3715AD" w14:textId="46E2C565" w:rsidR="000F5EFF" w:rsidRPr="00E2214C" w:rsidRDefault="000F5EFF" w:rsidP="000F5EFF">
      <w:pPr>
        <w:widowControl w:val="0"/>
        <w:numPr>
          <w:ilvl w:val="0"/>
          <w:numId w:val="19"/>
        </w:numPr>
        <w:autoSpaceDE w:val="0"/>
        <w:autoSpaceDN w:val="0"/>
        <w:adjustRightInd w:val="0"/>
        <w:spacing w:after="16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Service to technical, professional, and scholarly societies such as participating in committee activities, organizing and/or chairing conferences, reviewing manuscripts and proposals, and serving as an editor or on the editorial board of journals </w:t>
      </w:r>
    </w:p>
    <w:p w14:paraId="5B474DC3" w14:textId="77777777" w:rsidR="000F5EFF" w:rsidRPr="00E2214C" w:rsidRDefault="000F5EFF" w:rsidP="000F5EFF">
      <w:pPr>
        <w:widowControl w:val="0"/>
        <w:numPr>
          <w:ilvl w:val="0"/>
          <w:numId w:val="19"/>
        </w:numPr>
        <w:autoSpaceDE w:val="0"/>
        <w:autoSpaceDN w:val="0"/>
        <w:adjustRightInd w:val="0"/>
        <w:spacing w:after="16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Service to local/state/national agencies or the general public in the context of the faculty member’s discipline </w:t>
      </w:r>
    </w:p>
    <w:p w14:paraId="597F095B" w14:textId="77777777" w:rsidR="000F5EFF" w:rsidRPr="00E2214C" w:rsidRDefault="000F5EFF" w:rsidP="000F5EFF">
      <w:pPr>
        <w:widowControl w:val="0"/>
        <w:numPr>
          <w:ilvl w:val="0"/>
          <w:numId w:val="19"/>
        </w:numPr>
        <w:autoSpaceDE w:val="0"/>
        <w:autoSpaceDN w:val="0"/>
        <w:adjustRightInd w:val="0"/>
        <w:spacing w:after="16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Service to the public could include discipline-related outreach to local government, businesses, schools, or other community groups.</w:t>
      </w:r>
    </w:p>
    <w:p w14:paraId="7996C7E4" w14:textId="77777777" w:rsidR="000F5EFF" w:rsidRPr="00E2214C" w:rsidRDefault="000F5EFF" w:rsidP="000F5EFF">
      <w:pPr>
        <w:widowControl w:val="0"/>
        <w:numPr>
          <w:ilvl w:val="0"/>
          <w:numId w:val="19"/>
        </w:numPr>
        <w:autoSpaceDE w:val="0"/>
        <w:autoSpaceDN w:val="0"/>
        <w:adjustRightInd w:val="0"/>
        <w:spacing w:after="16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Leadership roles in any of the above service categories</w:t>
      </w:r>
    </w:p>
    <w:p w14:paraId="287F5BE2" w14:textId="77777777" w:rsidR="000F5EFF" w:rsidRPr="00E2214C" w:rsidRDefault="000F5EFF" w:rsidP="000F5EFF">
      <w:pPr>
        <w:widowControl w:val="0"/>
        <w:numPr>
          <w:ilvl w:val="0"/>
          <w:numId w:val="19"/>
        </w:numPr>
        <w:autoSpaceDE w:val="0"/>
        <w:autoSpaceDN w:val="0"/>
        <w:adjustRightInd w:val="0"/>
        <w:spacing w:after="16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Involvement in educational and/or research and/or professional outreach  </w:t>
      </w:r>
    </w:p>
    <w:p w14:paraId="38F4AFDD" w14:textId="77777777" w:rsidR="000F5EFF" w:rsidRPr="00E2214C" w:rsidRDefault="000F5EFF" w:rsidP="000F5EFF">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1E0B850F" w14:textId="77777777" w:rsidR="000F5EFF" w:rsidRPr="00E2214C" w:rsidRDefault="000F5EFF" w:rsidP="000F5EFF">
      <w:pPr>
        <w:widowControl w:val="0"/>
        <w:autoSpaceDE w:val="0"/>
        <w:autoSpaceDN w:val="0"/>
        <w:adjustRightInd w:val="0"/>
        <w:spacing w:after="120" w:line="240" w:lineRule="auto"/>
        <w:ind w:left="720"/>
        <w:rPr>
          <w:rFonts w:ascii="Times New Roman" w:hAnsi="Times New Roman" w:cs="Times New Roman"/>
          <w:sz w:val="24"/>
          <w:szCs w:val="24"/>
        </w:rPr>
      </w:pPr>
      <w:r w:rsidRPr="00E2214C">
        <w:rPr>
          <w:rFonts w:ascii="Times New Roman" w:hAnsi="Times New Roman" w:cs="Times New Roman"/>
          <w:sz w:val="24"/>
          <w:szCs w:val="24"/>
        </w:rPr>
        <w:t>The following activities are secondary examples of supporting evidence that can be used to demonstrate scholarship of service:</w:t>
      </w:r>
    </w:p>
    <w:p w14:paraId="3AFC46C6" w14:textId="77777777" w:rsidR="000F5EFF" w:rsidRPr="00E2214C" w:rsidRDefault="000F5EFF" w:rsidP="000F5EFF">
      <w:pPr>
        <w:widowControl w:val="0"/>
        <w:numPr>
          <w:ilvl w:val="0"/>
          <w:numId w:val="19"/>
        </w:numPr>
        <w:autoSpaceDE w:val="0"/>
        <w:autoSpaceDN w:val="0"/>
        <w:adjustRightInd w:val="0"/>
        <w:spacing w:after="16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Non-remunerative consulting in one’s area(s) of expertise</w:t>
      </w:r>
    </w:p>
    <w:p w14:paraId="7B33E7DA" w14:textId="77777777" w:rsidR="000F5EFF" w:rsidRPr="00E2214C" w:rsidRDefault="000F5EFF" w:rsidP="000F5EFF">
      <w:pPr>
        <w:widowControl w:val="0"/>
        <w:numPr>
          <w:ilvl w:val="0"/>
          <w:numId w:val="19"/>
        </w:numPr>
        <w:autoSpaceDE w:val="0"/>
        <w:autoSpaceDN w:val="0"/>
        <w:adjustRightInd w:val="0"/>
        <w:spacing w:after="16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Service to public and private organizations in areas outside the faculty member’s specific discipline (e.g. fraternal organizations, community-based organizations) but done in the capacity as an NDSU faculty member.</w:t>
      </w:r>
    </w:p>
    <w:p w14:paraId="115292CE" w14:textId="41EDCED3" w:rsidR="000F5EFF" w:rsidRPr="00E2214C" w:rsidRDefault="000F5EFF" w:rsidP="000F5EFF">
      <w:pPr>
        <w:widowControl w:val="0"/>
        <w:numPr>
          <w:ilvl w:val="0"/>
          <w:numId w:val="19"/>
        </w:numPr>
        <w:autoSpaceDE w:val="0"/>
        <w:autoSpaceDN w:val="0"/>
        <w:adjustRightInd w:val="0"/>
        <w:spacing w:after="16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Faculty mentoring</w:t>
      </w:r>
    </w:p>
    <w:p w14:paraId="5B244E1E" w14:textId="711CF836" w:rsidR="001763F3" w:rsidRPr="00E2214C" w:rsidRDefault="001763F3" w:rsidP="000F5EFF">
      <w:pPr>
        <w:widowControl w:val="0"/>
        <w:numPr>
          <w:ilvl w:val="0"/>
          <w:numId w:val="19"/>
        </w:numPr>
        <w:autoSpaceDE w:val="0"/>
        <w:autoSpaceDN w:val="0"/>
        <w:adjustRightInd w:val="0"/>
        <w:spacing w:after="16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Awards and recognition for service activities</w:t>
      </w:r>
    </w:p>
    <w:p w14:paraId="028E023C" w14:textId="77777777" w:rsidR="00FF403E" w:rsidRPr="00E2214C" w:rsidRDefault="00FF403E" w:rsidP="00FF403E">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Documented service to technical, professional, and scholarly societies in terms of committees and committee activities, organizing and/or chairing conferences, and editorial review responsibilities of journals, conference proceedings, etc.</w:t>
      </w:r>
    </w:p>
    <w:p w14:paraId="1CF8632F" w14:textId="77777777" w:rsidR="00FF403E" w:rsidRPr="00E2214C" w:rsidRDefault="00FF403E" w:rsidP="00FF403E">
      <w:pPr>
        <w:pStyle w:val="ListParagraph"/>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Provide leadership as an officer, committee chair or journal editor in technical / professional organizations.</w:t>
      </w:r>
    </w:p>
    <w:p w14:paraId="5D98DFA5" w14:textId="77777777" w:rsidR="00FF403E" w:rsidRPr="00E2214C" w:rsidRDefault="00FF403E" w:rsidP="00FF403E">
      <w:pPr>
        <w:pStyle w:val="ListParagraph"/>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Providing expert testimony.</w:t>
      </w:r>
    </w:p>
    <w:p w14:paraId="4CC8A65E" w14:textId="77777777" w:rsidR="00FF403E" w:rsidRPr="00E2214C" w:rsidRDefault="00FF403E" w:rsidP="00FF403E">
      <w:pPr>
        <w:pStyle w:val="ListParagraph"/>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Awards and recognition for service activities.</w:t>
      </w:r>
    </w:p>
    <w:p w14:paraId="27D69F03" w14:textId="77777777" w:rsidR="000F5EFF" w:rsidRPr="00E2214C" w:rsidRDefault="000F5EFF" w:rsidP="000F5EFF">
      <w:pPr>
        <w:widowControl w:val="0"/>
        <w:autoSpaceDE w:val="0"/>
        <w:autoSpaceDN w:val="0"/>
        <w:adjustRightInd w:val="0"/>
        <w:spacing w:after="0" w:line="240" w:lineRule="auto"/>
        <w:ind w:left="1440"/>
        <w:contextualSpacing/>
        <w:rPr>
          <w:rFonts w:ascii="Times New Roman" w:eastAsia="Times New Roman" w:hAnsi="Times New Roman" w:cs="Times New Roman"/>
          <w:sz w:val="24"/>
          <w:szCs w:val="24"/>
        </w:rPr>
      </w:pPr>
    </w:p>
    <w:p w14:paraId="6F9EF613" w14:textId="77777777" w:rsidR="000F5EFF" w:rsidRPr="00E2214C" w:rsidRDefault="000F5EFF" w:rsidP="000F5EFF">
      <w:pPr>
        <w:widowControl w:val="0"/>
        <w:autoSpaceDE w:val="0"/>
        <w:autoSpaceDN w:val="0"/>
        <w:adjustRightInd w:val="0"/>
        <w:spacing w:after="120" w:line="240" w:lineRule="auto"/>
        <w:ind w:left="720"/>
        <w:rPr>
          <w:rFonts w:ascii="Times New Roman" w:hAnsi="Times New Roman" w:cs="Times New Roman"/>
          <w:sz w:val="24"/>
          <w:szCs w:val="24"/>
        </w:rPr>
      </w:pPr>
      <w:r w:rsidRPr="00E2214C">
        <w:rPr>
          <w:rFonts w:ascii="Times New Roman" w:hAnsi="Times New Roman" w:cs="Times New Roman"/>
          <w:sz w:val="24"/>
          <w:szCs w:val="24"/>
        </w:rPr>
        <w:t xml:space="preserve">The following are examples of supporting evidence that may be used to demonstrate leadership in service activities: </w:t>
      </w:r>
    </w:p>
    <w:p w14:paraId="40533BC0" w14:textId="77777777" w:rsidR="000F5EFF" w:rsidRPr="00E2214C" w:rsidRDefault="000F5EFF" w:rsidP="00290C63">
      <w:pPr>
        <w:widowControl w:val="0"/>
        <w:numPr>
          <w:ilvl w:val="0"/>
          <w:numId w:val="28"/>
        </w:numPr>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Taking leadership roles on committees at any level</w:t>
      </w:r>
    </w:p>
    <w:p w14:paraId="54281089" w14:textId="77777777" w:rsidR="000F5EFF" w:rsidRPr="00E2214C" w:rsidRDefault="000F5EFF" w:rsidP="00290C63">
      <w:pPr>
        <w:widowControl w:val="0"/>
        <w:numPr>
          <w:ilvl w:val="0"/>
          <w:numId w:val="28"/>
        </w:numPr>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Developing or directing collaborative outreach programs</w:t>
      </w:r>
    </w:p>
    <w:p w14:paraId="5E5A96BD" w14:textId="77777777" w:rsidR="00290C63" w:rsidRPr="00E2214C" w:rsidRDefault="000F5EFF" w:rsidP="00290C63">
      <w:pPr>
        <w:widowControl w:val="0"/>
        <w:numPr>
          <w:ilvl w:val="0"/>
          <w:numId w:val="28"/>
        </w:numPr>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Developing and/or running university-wide governance initiatives</w:t>
      </w:r>
    </w:p>
    <w:p w14:paraId="4AE0F41A" w14:textId="77777777" w:rsidR="002C49F0" w:rsidRPr="00E2214C" w:rsidRDefault="002C49F0"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EE867EB" w14:textId="6350EBBE" w:rsidR="002C49F0" w:rsidRPr="00E2214C" w:rsidRDefault="002C49F0" w:rsidP="002C49F0">
      <w:pPr>
        <w:widowControl w:val="0"/>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5.  Criteria for Promotion and/or Tenure</w:t>
      </w:r>
    </w:p>
    <w:p w14:paraId="74E784F9" w14:textId="77777777" w:rsidR="002C49F0" w:rsidRPr="00E2214C" w:rsidRDefault="002C49F0"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2B3992E5" w14:textId="7E22D146" w:rsidR="00DC4B8D" w:rsidRPr="00E2214C" w:rsidRDefault="00DC4B8D"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For promotion to higher rank, the applicant must perform well in each of the areas outlined in the individual</w:t>
      </w:r>
      <w:r w:rsidR="00BF649C"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 xml:space="preserve">s job description and objectives. In addition, for promotion from Assistant Professor to Associate Professor, the applicant must perform in a substantial manner. </w:t>
      </w:r>
      <w:r w:rsidR="008B2368"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Substantial</w:t>
      </w:r>
      <w:r w:rsidR="008B2368"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 xml:space="preserve"> performance implies progress, development and achievement in teaching, research or creative activity, and service. A record of consistent peer reviewed publications, active development of internal and external competitive proposal development or demonstration of active contributions through other creative activities, evidence of effective teaching techniques, and providing service to the Department, College and the University and to professional organizations is required. For promotion to Professor, the applicant must perform in a </w:t>
      </w:r>
      <w:r w:rsidR="008B2368"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distinguished</w:t>
      </w:r>
      <w:r w:rsidR="008B2368"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 xml:space="preserve"> manner. </w:t>
      </w:r>
      <w:r w:rsidR="008B2368"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Distinguished</w:t>
      </w:r>
      <w:r w:rsidR="008B2368"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 xml:space="preserve"> performance implies sustained performance and evidence of professional growth. There should be recognizable growth in leadership capabilities and overall professional standing. Leadership in regional, national, and international professional organizations and/or service in an advisory capacity to government agencies and industry are some indicators of professional growth. Criteria and kinds of evidence for evaluating performance at each rank are summarized below.</w:t>
      </w:r>
    </w:p>
    <w:p w14:paraId="5AC527B1" w14:textId="77777777" w:rsidR="00DC4B8D" w:rsidRPr="00E2214C" w:rsidRDefault="00DC4B8D"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51D34C8" w14:textId="49641C26"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5a. Promotion from Assistant P</w:t>
      </w:r>
      <w:r w:rsidR="00A158D4" w:rsidRPr="00E2214C">
        <w:rPr>
          <w:rFonts w:ascii="Times New Roman" w:eastAsia="Times New Roman" w:hAnsi="Times New Roman" w:cs="Times New Roman"/>
          <w:sz w:val="24"/>
          <w:szCs w:val="24"/>
        </w:rPr>
        <w:t>rofessor to Associate Professor</w:t>
      </w:r>
    </w:p>
    <w:p w14:paraId="2F9427EC"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C7EA603" w14:textId="1A3F85E2" w:rsidR="00DC4B8D" w:rsidRPr="00E2214C" w:rsidRDefault="00BF649C"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i/>
          <w:sz w:val="24"/>
          <w:szCs w:val="24"/>
        </w:rPr>
        <w:t>5a (</w:t>
      </w:r>
      <w:proofErr w:type="spellStart"/>
      <w:r w:rsidRPr="00E2214C">
        <w:rPr>
          <w:rFonts w:ascii="Times New Roman" w:eastAsia="Times New Roman" w:hAnsi="Times New Roman" w:cs="Times New Roman"/>
          <w:i/>
          <w:sz w:val="24"/>
          <w:szCs w:val="24"/>
        </w:rPr>
        <w:t>i</w:t>
      </w:r>
      <w:proofErr w:type="spellEnd"/>
      <w:r w:rsidRPr="00E2214C">
        <w:rPr>
          <w:rFonts w:ascii="Times New Roman" w:eastAsia="Times New Roman" w:hAnsi="Times New Roman" w:cs="Times New Roman"/>
          <w:i/>
          <w:sz w:val="24"/>
          <w:szCs w:val="24"/>
        </w:rPr>
        <w:t>)</w:t>
      </w:r>
      <w:r w:rsidRPr="00E2214C">
        <w:rPr>
          <w:rFonts w:ascii="Times New Roman" w:eastAsia="Times New Roman" w:hAnsi="Times New Roman" w:cs="Times New Roman"/>
          <w:sz w:val="24"/>
          <w:szCs w:val="24"/>
        </w:rPr>
        <w:t xml:space="preserve"> </w:t>
      </w:r>
      <w:r w:rsidR="00DC4B8D" w:rsidRPr="00E2214C">
        <w:rPr>
          <w:rFonts w:ascii="Times New Roman" w:eastAsia="Times New Roman" w:hAnsi="Times New Roman" w:cs="Times New Roman"/>
          <w:sz w:val="24"/>
          <w:szCs w:val="24"/>
        </w:rPr>
        <w:t>Teaching</w:t>
      </w:r>
    </w:p>
    <w:p w14:paraId="61CC5FA7"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1B39443" w14:textId="4C918D69"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The applicant will be proficient as an instructor in all courses taught. </w:t>
      </w:r>
      <w:r w:rsidR="008B2368"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Proficient</w:t>
      </w:r>
      <w:r w:rsidR="008B2368"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 xml:space="preserve"> means knowledgeable and current in the subject(s) taught, demonstrated effectiveness in all forms of communication, and concerned about student learning.</w:t>
      </w:r>
    </w:p>
    <w:p w14:paraId="787E639E"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214B99A5" w14:textId="11FFDDEF" w:rsidR="00DC4B8D" w:rsidRPr="00E2214C" w:rsidRDefault="00BF649C"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i/>
          <w:sz w:val="24"/>
          <w:szCs w:val="24"/>
        </w:rPr>
        <w:t>5a (ii)</w:t>
      </w:r>
      <w:r w:rsidRPr="00E2214C">
        <w:rPr>
          <w:rFonts w:ascii="Times New Roman" w:eastAsia="Times New Roman" w:hAnsi="Times New Roman" w:cs="Times New Roman"/>
          <w:sz w:val="24"/>
          <w:szCs w:val="24"/>
        </w:rPr>
        <w:t xml:space="preserve"> </w:t>
      </w:r>
      <w:r w:rsidR="00DC4B8D" w:rsidRPr="00E2214C">
        <w:rPr>
          <w:rFonts w:ascii="Times New Roman" w:eastAsia="Times New Roman" w:hAnsi="Times New Roman" w:cs="Times New Roman"/>
          <w:sz w:val="24"/>
          <w:szCs w:val="24"/>
        </w:rPr>
        <w:t>Research</w:t>
      </w:r>
    </w:p>
    <w:p w14:paraId="23C093BE"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6C521778" w14:textId="6C56E0D2"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The applicant will establish a creative activity or research emphasis evidenced by scholarly work as defined in Section 4b. The candidate is expected to provide evidence of success in refereed archival publications or other peer evaluated creative contributions, effective direction of students in activities such as thesis work, and of attaining at least local and/or regional recognition with respect to their research activities. A faculty member is expected to demonstrate </w:t>
      </w:r>
      <w:r w:rsidR="00662BFD" w:rsidRPr="00E2214C">
        <w:rPr>
          <w:rFonts w:ascii="Times New Roman" w:eastAsia="Times New Roman" w:hAnsi="Times New Roman" w:cs="Times New Roman"/>
          <w:sz w:val="24"/>
          <w:szCs w:val="24"/>
        </w:rPr>
        <w:t xml:space="preserve">the </w:t>
      </w:r>
      <w:r w:rsidRPr="00E2214C">
        <w:rPr>
          <w:rFonts w:ascii="Times New Roman" w:eastAsia="Times New Roman" w:hAnsi="Times New Roman" w:cs="Times New Roman"/>
          <w:sz w:val="24"/>
          <w:szCs w:val="24"/>
        </w:rPr>
        <w:t>pursuit</w:t>
      </w:r>
      <w:r w:rsidR="00662BFD" w:rsidRPr="00E2214C">
        <w:rPr>
          <w:rFonts w:ascii="Times New Roman" w:eastAsia="Times New Roman" w:hAnsi="Times New Roman" w:cs="Times New Roman"/>
          <w:sz w:val="24"/>
          <w:szCs w:val="24"/>
        </w:rPr>
        <w:t xml:space="preserve"> and success in obtaining </w:t>
      </w:r>
      <w:r w:rsidRPr="00E2214C">
        <w:rPr>
          <w:rFonts w:ascii="Times New Roman" w:eastAsia="Times New Roman" w:hAnsi="Times New Roman" w:cs="Times New Roman"/>
          <w:sz w:val="24"/>
          <w:szCs w:val="24"/>
        </w:rPr>
        <w:t>external support for research.</w:t>
      </w:r>
    </w:p>
    <w:p w14:paraId="2DF0B6DE"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245B5034" w14:textId="1FF1E175" w:rsidR="00DC4B8D" w:rsidRPr="00E2214C" w:rsidRDefault="00BF649C"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i/>
          <w:sz w:val="24"/>
          <w:szCs w:val="24"/>
        </w:rPr>
        <w:t>5a (iii)</w:t>
      </w:r>
      <w:r w:rsidRPr="00E2214C">
        <w:rPr>
          <w:rFonts w:ascii="Times New Roman" w:eastAsia="Times New Roman" w:hAnsi="Times New Roman" w:cs="Times New Roman"/>
          <w:sz w:val="24"/>
          <w:szCs w:val="24"/>
        </w:rPr>
        <w:t xml:space="preserve"> </w:t>
      </w:r>
      <w:r w:rsidR="00DC4B8D" w:rsidRPr="00E2214C">
        <w:rPr>
          <w:rFonts w:ascii="Times New Roman" w:eastAsia="Times New Roman" w:hAnsi="Times New Roman" w:cs="Times New Roman"/>
          <w:sz w:val="24"/>
          <w:szCs w:val="24"/>
        </w:rPr>
        <w:t>Service</w:t>
      </w:r>
    </w:p>
    <w:p w14:paraId="06A42A22"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5E20AD3C" w14:textId="2BA1FD24"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The applicant should demonstrate service on various committees of the University, College, or Department. At a minimum, the candidate should have provided service to the Department or College. Professional service to the profession is demonstrated through active membership</w:t>
      </w:r>
      <w:r w:rsidR="001B5F3E" w:rsidRPr="00E2214C">
        <w:rPr>
          <w:rFonts w:ascii="Times New Roman" w:eastAsia="Times New Roman" w:hAnsi="Times New Roman" w:cs="Times New Roman"/>
          <w:sz w:val="24"/>
          <w:szCs w:val="24"/>
        </w:rPr>
        <w:t xml:space="preserve">, participation in professional societies, </w:t>
      </w:r>
      <w:r w:rsidRPr="00E2214C">
        <w:rPr>
          <w:rFonts w:ascii="Times New Roman" w:eastAsia="Times New Roman" w:hAnsi="Times New Roman" w:cs="Times New Roman"/>
          <w:sz w:val="24"/>
          <w:szCs w:val="24"/>
        </w:rPr>
        <w:t>and service at the committee level.</w:t>
      </w:r>
    </w:p>
    <w:p w14:paraId="62F118C4"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26A2C88A" w14:textId="2098C01D"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Section 5b. Promotion from Associate Professor to Professor </w:t>
      </w:r>
    </w:p>
    <w:p w14:paraId="564FFCCE"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DF425A2" w14:textId="37C369CF" w:rsidR="00DC4B8D" w:rsidRPr="00E2214C" w:rsidRDefault="00BF649C" w:rsidP="00DC4B8D">
      <w:pPr>
        <w:widowControl w:val="0"/>
        <w:autoSpaceDE w:val="0"/>
        <w:autoSpaceDN w:val="0"/>
        <w:adjustRightInd w:val="0"/>
        <w:spacing w:after="0" w:line="240" w:lineRule="auto"/>
        <w:ind w:left="720"/>
        <w:rPr>
          <w:rFonts w:ascii="Times New Roman" w:eastAsia="Times New Roman" w:hAnsi="Times New Roman" w:cs="Times New Roman"/>
          <w:i/>
          <w:sz w:val="24"/>
          <w:szCs w:val="24"/>
        </w:rPr>
      </w:pPr>
      <w:r w:rsidRPr="00E2214C">
        <w:rPr>
          <w:rFonts w:ascii="Times New Roman" w:eastAsia="Times New Roman" w:hAnsi="Times New Roman" w:cs="Times New Roman"/>
          <w:i/>
          <w:sz w:val="24"/>
          <w:szCs w:val="24"/>
        </w:rPr>
        <w:t>5b (</w:t>
      </w:r>
      <w:proofErr w:type="spellStart"/>
      <w:r w:rsidRPr="00E2214C">
        <w:rPr>
          <w:rFonts w:ascii="Times New Roman" w:eastAsia="Times New Roman" w:hAnsi="Times New Roman" w:cs="Times New Roman"/>
          <w:i/>
          <w:sz w:val="24"/>
          <w:szCs w:val="24"/>
        </w:rPr>
        <w:t>i</w:t>
      </w:r>
      <w:proofErr w:type="spellEnd"/>
      <w:r w:rsidRPr="00E2214C">
        <w:rPr>
          <w:rFonts w:ascii="Times New Roman" w:eastAsia="Times New Roman" w:hAnsi="Times New Roman" w:cs="Times New Roman"/>
          <w:i/>
          <w:sz w:val="24"/>
          <w:szCs w:val="24"/>
        </w:rPr>
        <w:t xml:space="preserve">) </w:t>
      </w:r>
      <w:r w:rsidR="00DC4B8D" w:rsidRPr="00E2214C">
        <w:rPr>
          <w:rFonts w:ascii="Times New Roman" w:eastAsia="Times New Roman" w:hAnsi="Times New Roman" w:cs="Times New Roman"/>
          <w:i/>
          <w:sz w:val="24"/>
          <w:szCs w:val="24"/>
        </w:rPr>
        <w:t>Teaching</w:t>
      </w:r>
      <w:r w:rsidR="00DC4B8D" w:rsidRPr="00E2214C">
        <w:rPr>
          <w:rFonts w:ascii="Times New Roman" w:eastAsia="Times New Roman" w:hAnsi="Times New Roman" w:cs="Times New Roman"/>
          <w:i/>
          <w:sz w:val="24"/>
          <w:szCs w:val="24"/>
        </w:rPr>
        <w:tab/>
      </w:r>
    </w:p>
    <w:p w14:paraId="55A2505D"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2A5486FA"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A sustained record of teaching effectiveness, participation in curriculum development, and a demonstrated commitment to improvement of teaching performance should be evidenced.</w:t>
      </w:r>
    </w:p>
    <w:p w14:paraId="4EF1DE58"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7CAF778" w14:textId="5EBF0649" w:rsidR="00DC4B8D" w:rsidRPr="00E2214C" w:rsidRDefault="00BF649C" w:rsidP="00DC4B8D">
      <w:pPr>
        <w:widowControl w:val="0"/>
        <w:autoSpaceDE w:val="0"/>
        <w:autoSpaceDN w:val="0"/>
        <w:adjustRightInd w:val="0"/>
        <w:spacing w:after="0" w:line="240" w:lineRule="auto"/>
        <w:ind w:left="720"/>
        <w:rPr>
          <w:rFonts w:ascii="Times New Roman" w:eastAsia="Times New Roman" w:hAnsi="Times New Roman" w:cs="Times New Roman"/>
          <w:i/>
          <w:sz w:val="24"/>
          <w:szCs w:val="24"/>
        </w:rPr>
      </w:pPr>
      <w:r w:rsidRPr="00E2214C">
        <w:rPr>
          <w:rFonts w:ascii="Times New Roman" w:eastAsia="Times New Roman" w:hAnsi="Times New Roman" w:cs="Times New Roman"/>
          <w:i/>
          <w:sz w:val="24"/>
          <w:szCs w:val="24"/>
        </w:rPr>
        <w:t xml:space="preserve">5b (ii) </w:t>
      </w:r>
      <w:r w:rsidR="00DC4B8D" w:rsidRPr="00E2214C">
        <w:rPr>
          <w:rFonts w:ascii="Times New Roman" w:eastAsia="Times New Roman" w:hAnsi="Times New Roman" w:cs="Times New Roman"/>
          <w:i/>
          <w:sz w:val="24"/>
          <w:szCs w:val="24"/>
        </w:rPr>
        <w:t>Research</w:t>
      </w:r>
    </w:p>
    <w:p w14:paraId="2FEBB8A7"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084777C" w14:textId="1228E8F6"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The applicant will sustain a creative activity or research emphasis evidenced by scholarly work. Sustaining a strong program of research or creative endeavor evidenced by regular publications, directing graduate and/or undergraduate research, and recognition of the applicant</w:t>
      </w:r>
      <w:r w:rsidR="00BF649C"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s work by peers or other researchers in the field are some indicators of the expected level of effort.</w:t>
      </w:r>
    </w:p>
    <w:p w14:paraId="01179A9D"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4E88F10" w14:textId="6161016C" w:rsidR="00DC4B8D" w:rsidRPr="00E2214C" w:rsidRDefault="00BF649C" w:rsidP="00DC4B8D">
      <w:pPr>
        <w:widowControl w:val="0"/>
        <w:autoSpaceDE w:val="0"/>
        <w:autoSpaceDN w:val="0"/>
        <w:adjustRightInd w:val="0"/>
        <w:spacing w:after="0" w:line="240" w:lineRule="auto"/>
        <w:ind w:left="720"/>
        <w:rPr>
          <w:rFonts w:ascii="Times New Roman" w:eastAsia="Times New Roman" w:hAnsi="Times New Roman" w:cs="Times New Roman"/>
          <w:i/>
          <w:sz w:val="24"/>
          <w:szCs w:val="24"/>
        </w:rPr>
      </w:pPr>
      <w:r w:rsidRPr="00E2214C">
        <w:rPr>
          <w:rFonts w:ascii="Times New Roman" w:eastAsia="Times New Roman" w:hAnsi="Times New Roman" w:cs="Times New Roman"/>
          <w:i/>
          <w:sz w:val="24"/>
          <w:szCs w:val="24"/>
        </w:rPr>
        <w:t xml:space="preserve">5b (iii) </w:t>
      </w:r>
      <w:r w:rsidR="00DC4B8D" w:rsidRPr="00E2214C">
        <w:rPr>
          <w:rFonts w:ascii="Times New Roman" w:eastAsia="Times New Roman" w:hAnsi="Times New Roman" w:cs="Times New Roman"/>
          <w:i/>
          <w:sz w:val="24"/>
          <w:szCs w:val="24"/>
        </w:rPr>
        <w:t>Service</w:t>
      </w:r>
    </w:p>
    <w:p w14:paraId="01933881"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28C52970" w14:textId="715DE17F"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Evidence of </w:t>
      </w:r>
      <w:r w:rsidR="007C232C" w:rsidRPr="00E2214C">
        <w:rPr>
          <w:rFonts w:ascii="Times New Roman" w:eastAsia="Times New Roman" w:hAnsi="Times New Roman" w:cs="Times New Roman"/>
          <w:sz w:val="24"/>
          <w:szCs w:val="24"/>
        </w:rPr>
        <w:t>active</w:t>
      </w:r>
      <w:r w:rsidRPr="00E2214C">
        <w:rPr>
          <w:rFonts w:ascii="Times New Roman" w:eastAsia="Times New Roman" w:hAnsi="Times New Roman" w:cs="Times New Roman"/>
          <w:sz w:val="24"/>
          <w:szCs w:val="24"/>
        </w:rPr>
        <w:t xml:space="preserve"> participation in University, College and/or Department committees is expected. Service to the professio</w:t>
      </w:r>
      <w:r w:rsidR="00030EE8" w:rsidRPr="00E2214C">
        <w:rPr>
          <w:rFonts w:ascii="Times New Roman" w:eastAsia="Times New Roman" w:hAnsi="Times New Roman" w:cs="Times New Roman"/>
          <w:sz w:val="24"/>
          <w:szCs w:val="24"/>
        </w:rPr>
        <w:t xml:space="preserve">n in terms of proposal reviews </w:t>
      </w:r>
      <w:r w:rsidRPr="00E2214C">
        <w:rPr>
          <w:rFonts w:ascii="Times New Roman" w:eastAsia="Times New Roman" w:hAnsi="Times New Roman" w:cs="Times New Roman"/>
          <w:sz w:val="24"/>
          <w:szCs w:val="24"/>
        </w:rPr>
        <w:t>and participation in the activities of professional societies are the types of activities e</w:t>
      </w:r>
      <w:r w:rsidR="005F00EB" w:rsidRPr="00E2214C">
        <w:rPr>
          <w:rFonts w:ascii="Times New Roman" w:eastAsia="Times New Roman" w:hAnsi="Times New Roman" w:cs="Times New Roman"/>
          <w:sz w:val="24"/>
          <w:szCs w:val="24"/>
        </w:rPr>
        <w:t xml:space="preserve">xpected. Leadership roles in professional </w:t>
      </w:r>
      <w:r w:rsidRPr="00E2214C">
        <w:rPr>
          <w:rFonts w:ascii="Times New Roman" w:eastAsia="Times New Roman" w:hAnsi="Times New Roman" w:cs="Times New Roman"/>
          <w:sz w:val="24"/>
          <w:szCs w:val="24"/>
        </w:rPr>
        <w:t>and public service in one</w:t>
      </w:r>
      <w:r w:rsidR="00BF649C"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s area of expertise are significant.</w:t>
      </w:r>
    </w:p>
    <w:p w14:paraId="07EB5A93"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2ED37240"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5c. Tenure</w:t>
      </w:r>
    </w:p>
    <w:p w14:paraId="6AFE70BB"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1252FF3" w14:textId="0E60AA16"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An applicant for tenure will normally be expected to meet the same criteria for promotion from Assistant to Associate Professor. In addition, the applicant should demonstrate long term potential value to the mission</w:t>
      </w:r>
      <w:r w:rsidR="00030EE8" w:rsidRPr="00E2214C">
        <w:rPr>
          <w:rFonts w:ascii="Times New Roman" w:eastAsia="Times New Roman" w:hAnsi="Times New Roman" w:cs="Times New Roman"/>
          <w:sz w:val="24"/>
          <w:szCs w:val="24"/>
        </w:rPr>
        <w:t xml:space="preserve"> and priorities of the institution</w:t>
      </w:r>
      <w:r w:rsidRPr="00E2214C">
        <w:rPr>
          <w:rFonts w:ascii="Times New Roman" w:eastAsia="Times New Roman" w:hAnsi="Times New Roman" w:cs="Times New Roman"/>
          <w:sz w:val="24"/>
          <w:szCs w:val="24"/>
        </w:rPr>
        <w:t>.</w:t>
      </w:r>
    </w:p>
    <w:p w14:paraId="4AAD43EF" w14:textId="77777777" w:rsidR="00DC4B8D" w:rsidRPr="00E2214C" w:rsidRDefault="00DC4B8D"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74281E74" w14:textId="77777777" w:rsidR="00950E9D" w:rsidRPr="00E2214C" w:rsidRDefault="00950E9D" w:rsidP="00DC4B8D">
      <w:pPr>
        <w:widowControl w:val="0"/>
        <w:autoSpaceDE w:val="0"/>
        <w:autoSpaceDN w:val="0"/>
        <w:adjustRightInd w:val="0"/>
        <w:spacing w:after="0" w:line="240" w:lineRule="auto"/>
        <w:rPr>
          <w:rFonts w:ascii="Times New Roman" w:eastAsia="Times New Roman" w:hAnsi="Times New Roman" w:cs="Times New Roman"/>
          <w:sz w:val="24"/>
          <w:szCs w:val="24"/>
        </w:rPr>
      </w:pPr>
    </w:p>
    <w:p w14:paraId="7A9157BA" w14:textId="36DA6A2D" w:rsidR="00DC4B8D" w:rsidRPr="00E2214C" w:rsidRDefault="00DC4B8D" w:rsidP="00DC4B8D">
      <w:pPr>
        <w:widowControl w:val="0"/>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6. Composition of PT&amp;E Committee</w:t>
      </w:r>
    </w:p>
    <w:p w14:paraId="3E37B7C2" w14:textId="77777777" w:rsidR="00DC4B8D" w:rsidRPr="00E2214C" w:rsidRDefault="00DC4B8D" w:rsidP="002C49F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5E991062" w14:textId="1928DAC2"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The Department will follow the detailed </w:t>
      </w:r>
      <w:r w:rsidR="00D93808" w:rsidRPr="00E2214C">
        <w:rPr>
          <w:rFonts w:ascii="Times New Roman" w:hAnsi="Times New Roman" w:cs="Times New Roman"/>
          <w:sz w:val="24"/>
          <w:szCs w:val="24"/>
        </w:rPr>
        <w:t>North Dakota State University</w:t>
      </w:r>
      <w:r w:rsidRPr="00E2214C">
        <w:rPr>
          <w:rFonts w:ascii="Times New Roman" w:eastAsia="Times New Roman" w:hAnsi="Times New Roman" w:cs="Times New Roman"/>
          <w:sz w:val="24"/>
          <w:szCs w:val="24"/>
        </w:rPr>
        <w:t xml:space="preserve"> Policy 352 Section 5.2 and 5.3 to establish the PT&amp;E Committee. The Department PT&amp;E committee will consist of at least three tenured faculty</w:t>
      </w:r>
      <w:r w:rsidR="00C9648A" w:rsidRPr="00E2214C">
        <w:rPr>
          <w:rFonts w:ascii="Times New Roman" w:eastAsia="Times New Roman" w:hAnsi="Times New Roman" w:cs="Times New Roman"/>
          <w:sz w:val="24"/>
          <w:szCs w:val="24"/>
        </w:rPr>
        <w:t xml:space="preserve"> </w:t>
      </w:r>
      <w:r w:rsidR="001763F3" w:rsidRPr="00E2214C">
        <w:rPr>
          <w:rFonts w:ascii="Times New Roman" w:eastAsia="Times New Roman" w:hAnsi="Times New Roman" w:cs="Times New Roman"/>
          <w:sz w:val="24"/>
          <w:szCs w:val="24"/>
        </w:rPr>
        <w:t>of the rank of associate professor</w:t>
      </w:r>
      <w:r w:rsidR="00C9648A" w:rsidRPr="00E2214C">
        <w:rPr>
          <w:rFonts w:ascii="Times New Roman" w:eastAsia="Times New Roman" w:hAnsi="Times New Roman" w:cs="Times New Roman"/>
          <w:sz w:val="24"/>
          <w:szCs w:val="24"/>
        </w:rPr>
        <w:t xml:space="preserve"> or higher</w:t>
      </w:r>
      <w:r w:rsidRPr="00E2214C">
        <w:rPr>
          <w:rFonts w:ascii="Times New Roman" w:eastAsia="Times New Roman" w:hAnsi="Times New Roman" w:cs="Times New Roman"/>
          <w:sz w:val="24"/>
          <w:szCs w:val="24"/>
        </w:rPr>
        <w:t xml:space="preserve"> in the Department, except those with administrative functions within the Department (i.e., Chair). If the Department does not have a sufficient number of tenured </w:t>
      </w:r>
      <w:r w:rsidR="001763F3" w:rsidRPr="00E2214C">
        <w:rPr>
          <w:rFonts w:ascii="Times New Roman" w:eastAsia="Times New Roman" w:hAnsi="Times New Roman" w:cs="Times New Roman"/>
          <w:sz w:val="24"/>
          <w:szCs w:val="24"/>
        </w:rPr>
        <w:t>associate</w:t>
      </w:r>
      <w:r w:rsidR="00C9648A" w:rsidRPr="00E2214C">
        <w:rPr>
          <w:rFonts w:ascii="Times New Roman" w:eastAsia="Times New Roman" w:hAnsi="Times New Roman" w:cs="Times New Roman"/>
          <w:sz w:val="24"/>
          <w:szCs w:val="24"/>
        </w:rPr>
        <w:t xml:space="preserve"> and full</w:t>
      </w:r>
      <w:r w:rsidR="001763F3" w:rsidRPr="00E2214C">
        <w:rPr>
          <w:rFonts w:ascii="Times New Roman" w:eastAsia="Times New Roman" w:hAnsi="Times New Roman" w:cs="Times New Roman"/>
          <w:sz w:val="24"/>
          <w:szCs w:val="24"/>
        </w:rPr>
        <w:t xml:space="preserve"> professors</w:t>
      </w:r>
      <w:r w:rsidRPr="00E2214C">
        <w:rPr>
          <w:rFonts w:ascii="Times New Roman" w:eastAsia="Times New Roman" w:hAnsi="Times New Roman" w:cs="Times New Roman"/>
          <w:sz w:val="24"/>
          <w:szCs w:val="24"/>
        </w:rPr>
        <w:t xml:space="preserve">, then the Department PT&amp;E committee will consist of all tenured faculty </w:t>
      </w:r>
      <w:r w:rsidR="001763F3" w:rsidRPr="00E2214C">
        <w:rPr>
          <w:rFonts w:ascii="Times New Roman" w:eastAsia="Times New Roman" w:hAnsi="Times New Roman" w:cs="Times New Roman"/>
          <w:sz w:val="24"/>
          <w:szCs w:val="24"/>
        </w:rPr>
        <w:t>of the rank of associate professor</w:t>
      </w:r>
      <w:r w:rsidR="00C9648A" w:rsidRPr="00E2214C">
        <w:rPr>
          <w:rFonts w:ascii="Times New Roman" w:eastAsia="Times New Roman" w:hAnsi="Times New Roman" w:cs="Times New Roman"/>
          <w:sz w:val="24"/>
          <w:szCs w:val="24"/>
        </w:rPr>
        <w:t xml:space="preserve"> o</w:t>
      </w:r>
      <w:r w:rsidR="00A158D4" w:rsidRPr="00E2214C">
        <w:rPr>
          <w:rFonts w:ascii="Times New Roman" w:eastAsia="Times New Roman" w:hAnsi="Times New Roman" w:cs="Times New Roman"/>
          <w:sz w:val="24"/>
          <w:szCs w:val="24"/>
        </w:rPr>
        <w:t>r</w:t>
      </w:r>
      <w:r w:rsidR="00C9648A" w:rsidRPr="00E2214C">
        <w:rPr>
          <w:rFonts w:ascii="Times New Roman" w:eastAsia="Times New Roman" w:hAnsi="Times New Roman" w:cs="Times New Roman"/>
          <w:sz w:val="24"/>
          <w:szCs w:val="24"/>
        </w:rPr>
        <w:t xml:space="preserve"> higher</w:t>
      </w:r>
      <w:r w:rsidR="001763F3" w:rsidRPr="00E2214C">
        <w:rPr>
          <w:rFonts w:ascii="Times New Roman" w:eastAsia="Times New Roman" w:hAnsi="Times New Roman" w:cs="Times New Roman"/>
          <w:sz w:val="24"/>
          <w:szCs w:val="24"/>
        </w:rPr>
        <w:t xml:space="preserve"> </w:t>
      </w:r>
      <w:r w:rsidRPr="00E2214C">
        <w:rPr>
          <w:rFonts w:ascii="Times New Roman" w:eastAsia="Times New Roman" w:hAnsi="Times New Roman" w:cs="Times New Roman"/>
          <w:sz w:val="24"/>
          <w:szCs w:val="24"/>
        </w:rPr>
        <w:t xml:space="preserve">in the Department, and will also include select </w:t>
      </w:r>
      <w:r w:rsidR="00C9648A" w:rsidRPr="00E2214C">
        <w:rPr>
          <w:rFonts w:ascii="Times New Roman" w:eastAsia="Times New Roman" w:hAnsi="Times New Roman" w:cs="Times New Roman"/>
          <w:sz w:val="24"/>
          <w:szCs w:val="24"/>
        </w:rPr>
        <w:t xml:space="preserve">tenured </w:t>
      </w:r>
      <w:r w:rsidRPr="00E2214C">
        <w:rPr>
          <w:rFonts w:ascii="Times New Roman" w:eastAsia="Times New Roman" w:hAnsi="Times New Roman" w:cs="Times New Roman"/>
          <w:sz w:val="24"/>
          <w:szCs w:val="24"/>
        </w:rPr>
        <w:t xml:space="preserve">faculty </w:t>
      </w:r>
      <w:r w:rsidR="00050C16" w:rsidRPr="00E2214C">
        <w:rPr>
          <w:rFonts w:ascii="Times New Roman" w:eastAsia="Times New Roman" w:hAnsi="Times New Roman" w:cs="Times New Roman"/>
          <w:sz w:val="24"/>
          <w:szCs w:val="24"/>
        </w:rPr>
        <w:t xml:space="preserve">of similar caliber </w:t>
      </w:r>
      <w:r w:rsidRPr="00E2214C">
        <w:rPr>
          <w:rFonts w:ascii="Times New Roman" w:eastAsia="Times New Roman" w:hAnsi="Times New Roman" w:cs="Times New Roman"/>
          <w:sz w:val="24"/>
          <w:szCs w:val="24"/>
        </w:rPr>
        <w:t xml:space="preserve">from other College Departments (as nominated, appointed, or selected by the Dean in consultation and agreement with the </w:t>
      </w:r>
      <w:r w:rsidR="003C16A8" w:rsidRPr="00E2214C">
        <w:rPr>
          <w:rFonts w:ascii="Times New Roman" w:eastAsia="Times New Roman" w:hAnsi="Times New Roman" w:cs="Times New Roman"/>
          <w:sz w:val="24"/>
          <w:szCs w:val="24"/>
        </w:rPr>
        <w:t>college PT&amp;E Committee</w:t>
      </w:r>
      <w:r w:rsidRPr="00E2214C">
        <w:rPr>
          <w:rFonts w:ascii="Times New Roman" w:eastAsia="Times New Roman" w:hAnsi="Times New Roman" w:cs="Times New Roman"/>
          <w:sz w:val="24"/>
          <w:szCs w:val="24"/>
        </w:rPr>
        <w:t>).</w:t>
      </w:r>
    </w:p>
    <w:p w14:paraId="4F5CF448" w14:textId="7D72187B" w:rsidR="00AB6BA1" w:rsidRPr="00E2214C" w:rsidRDefault="00AB6BA1"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5FC40C19" w14:textId="25864803" w:rsidR="00AB6BA1" w:rsidRPr="00E2214C" w:rsidRDefault="00AB6BA1" w:rsidP="00AB6BA1">
      <w:pPr>
        <w:autoSpaceDE w:val="0"/>
        <w:autoSpaceDN w:val="0"/>
        <w:ind w:left="720"/>
        <w:jc w:val="both"/>
        <w:rPr>
          <w:rFonts w:ascii="Times New Roman" w:hAnsi="Times New Roman" w:cs="Times New Roman"/>
          <w:sz w:val="24"/>
          <w:szCs w:val="24"/>
        </w:rPr>
      </w:pPr>
      <w:r w:rsidRPr="00E2214C">
        <w:rPr>
          <w:rFonts w:ascii="Times New Roman" w:hAnsi="Times New Roman" w:cs="Times New Roman"/>
          <w:sz w:val="24"/>
          <w:szCs w:val="24"/>
        </w:rPr>
        <w:t xml:space="preserve">Prior to commencement of deliberations, </w:t>
      </w:r>
      <w:r w:rsidRPr="00E2214C">
        <w:rPr>
          <w:rFonts w:ascii="Times New Roman" w:hAnsi="Times New Roman" w:cs="Times New Roman"/>
          <w:bCs/>
          <w:sz w:val="24"/>
          <w:szCs w:val="24"/>
        </w:rPr>
        <w:t>the chair of any PTE committee must have received PTE committee training within the last three years</w:t>
      </w:r>
      <w:r w:rsidRPr="00E2214C">
        <w:rPr>
          <w:rFonts w:ascii="Times New Roman" w:hAnsi="Times New Roman" w:cs="Times New Roman"/>
          <w:sz w:val="24"/>
          <w:szCs w:val="24"/>
        </w:rPr>
        <w:t xml:space="preserve">, provided through the Office of the Provost. Faculty members and </w:t>
      </w:r>
      <w:r w:rsidRPr="00E2214C">
        <w:rPr>
          <w:rFonts w:ascii="Times New Roman" w:hAnsi="Times New Roman" w:cs="Times New Roman"/>
          <w:bCs/>
          <w:sz w:val="24"/>
          <w:szCs w:val="24"/>
        </w:rPr>
        <w:t>administrators being considered for promotion may not be involved in any candidate review and recommendation process</w:t>
      </w:r>
      <w:r w:rsidRPr="00E2214C">
        <w:rPr>
          <w:rFonts w:ascii="Times New Roman" w:hAnsi="Times New Roman" w:cs="Times New Roman"/>
          <w:sz w:val="24"/>
          <w:szCs w:val="24"/>
        </w:rPr>
        <w:t xml:space="preserve">, including the selection of external reviewers, while under consideration. A college </w:t>
      </w:r>
      <w:r w:rsidRPr="00E2214C">
        <w:rPr>
          <w:rFonts w:ascii="Times New Roman" w:hAnsi="Times New Roman" w:cs="Times New Roman"/>
          <w:bCs/>
          <w:sz w:val="24"/>
          <w:szCs w:val="24"/>
        </w:rPr>
        <w:t>PTE committee member who has voted on the promotion/tenure of a candidate in the department PTE committee shall be recused from the vote by the college PTE committee</w:t>
      </w:r>
      <w:r w:rsidRPr="00E2214C">
        <w:rPr>
          <w:rFonts w:ascii="Times New Roman" w:hAnsi="Times New Roman" w:cs="Times New Roman"/>
          <w:sz w:val="24"/>
          <w:szCs w:val="24"/>
        </w:rPr>
        <w:t xml:space="preserve">. In such a case, college policy shall determine whether the committee member may or may not deliberate with the committee on the candidate. </w:t>
      </w:r>
    </w:p>
    <w:p w14:paraId="1D22210B" w14:textId="77777777" w:rsidR="00AB6BA1" w:rsidRPr="00E2214C" w:rsidRDefault="00AB6BA1"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1165938" w14:textId="77777777" w:rsidR="00DC4B8D" w:rsidRPr="00E2214C" w:rsidRDefault="00DC4B8D" w:rsidP="00DC4B8D">
      <w:pPr>
        <w:widowControl w:val="0"/>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7. Procedures</w:t>
      </w:r>
    </w:p>
    <w:p w14:paraId="14B9A8AF"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169761C" w14:textId="565020BC"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Section 7a. Procedures Applicable </w:t>
      </w:r>
      <w:r w:rsidR="00A158D4" w:rsidRPr="00E2214C">
        <w:rPr>
          <w:rFonts w:ascii="Times New Roman" w:eastAsia="Times New Roman" w:hAnsi="Times New Roman" w:cs="Times New Roman"/>
          <w:sz w:val="24"/>
          <w:szCs w:val="24"/>
        </w:rPr>
        <w:t xml:space="preserve">to </w:t>
      </w:r>
      <w:r w:rsidRPr="00E2214C">
        <w:rPr>
          <w:rFonts w:ascii="Times New Roman" w:eastAsia="Times New Roman" w:hAnsi="Times New Roman" w:cs="Times New Roman"/>
          <w:sz w:val="24"/>
          <w:szCs w:val="24"/>
        </w:rPr>
        <w:t>Promotion and Tenure Guidelines</w:t>
      </w:r>
    </w:p>
    <w:p w14:paraId="3188ED42"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5E4F5EE" w14:textId="061ACD48"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The Department will follow the detailed PT&amp;E Procedures as outlined and defined in </w:t>
      </w:r>
      <w:r w:rsidR="00D93808" w:rsidRPr="00E2214C">
        <w:rPr>
          <w:rFonts w:ascii="Times New Roman" w:hAnsi="Times New Roman" w:cs="Times New Roman"/>
          <w:sz w:val="24"/>
          <w:szCs w:val="24"/>
        </w:rPr>
        <w:t>North Dakota State University</w:t>
      </w:r>
      <w:r w:rsidRPr="00E2214C">
        <w:rPr>
          <w:rFonts w:ascii="Times New Roman" w:eastAsia="Times New Roman" w:hAnsi="Times New Roman" w:cs="Times New Roman"/>
          <w:sz w:val="24"/>
          <w:szCs w:val="24"/>
        </w:rPr>
        <w:t xml:space="preserve"> Policy 352 Section. Promotion and tenure guidelines and criteria of the department which were in effect and provided to the probationary faculty at the time his/her appointment shall be the basis of the candidate</w:t>
      </w:r>
      <w:r w:rsidR="00BF649C"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s promotion and tenure review. The department chairperson shall provide the aforesaid documents together with a position description, contract or other documents to the probationary faculty. A tenured candidate who is seeking promotion to a higher rank shall be evaluated on the basis of the promotion and tenure criteria in effect at the time of his/her application.</w:t>
      </w:r>
    </w:p>
    <w:p w14:paraId="6D02D2D8"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BBB5233"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7b. Evaluation</w:t>
      </w:r>
    </w:p>
    <w:p w14:paraId="205F8874"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C4D44D9" w14:textId="4D4200D2"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Periodic reviews for faculty members will be conducted by the Department Chair who will meet with each faculty member on an annual basis. The purpose will be to review the job description for each faculty member, review accomplishments since the last review, and to collaboratively define expectations for accomplishments for the next review cycle. The Department PT&amp;E Committee should participate in the </w:t>
      </w:r>
      <w:r w:rsidR="007A76AB" w:rsidRPr="00E2214C">
        <w:rPr>
          <w:rFonts w:ascii="Times New Roman" w:eastAsia="Times New Roman" w:hAnsi="Times New Roman" w:cs="Times New Roman"/>
          <w:sz w:val="24"/>
          <w:szCs w:val="24"/>
        </w:rPr>
        <w:t xml:space="preserve">annual performance and </w:t>
      </w:r>
      <w:r w:rsidRPr="00E2214C">
        <w:rPr>
          <w:rFonts w:ascii="Times New Roman" w:eastAsia="Times New Roman" w:hAnsi="Times New Roman" w:cs="Times New Roman"/>
          <w:sz w:val="24"/>
          <w:szCs w:val="24"/>
        </w:rPr>
        <w:t xml:space="preserve">Third Year </w:t>
      </w:r>
      <w:r w:rsidR="007A76AB" w:rsidRPr="00E2214C">
        <w:rPr>
          <w:rFonts w:ascii="Times New Roman" w:eastAsia="Times New Roman" w:hAnsi="Times New Roman" w:cs="Times New Roman"/>
          <w:sz w:val="24"/>
          <w:szCs w:val="24"/>
        </w:rPr>
        <w:t xml:space="preserve">review </w:t>
      </w:r>
      <w:r w:rsidRPr="00E2214C">
        <w:rPr>
          <w:rFonts w:ascii="Times New Roman" w:eastAsia="Times New Roman" w:hAnsi="Times New Roman" w:cs="Times New Roman"/>
          <w:sz w:val="24"/>
          <w:szCs w:val="24"/>
        </w:rPr>
        <w:t>process</w:t>
      </w:r>
      <w:r w:rsidR="007A76AB" w:rsidRPr="00E2214C">
        <w:rPr>
          <w:rFonts w:ascii="Times New Roman" w:eastAsia="Times New Roman" w:hAnsi="Times New Roman" w:cs="Times New Roman"/>
          <w:sz w:val="24"/>
          <w:szCs w:val="24"/>
        </w:rPr>
        <w:t>es</w:t>
      </w:r>
      <w:r w:rsidRPr="00E2214C">
        <w:rPr>
          <w:rFonts w:ascii="Times New Roman" w:eastAsia="Times New Roman" w:hAnsi="Times New Roman" w:cs="Times New Roman"/>
          <w:sz w:val="24"/>
          <w:szCs w:val="24"/>
        </w:rPr>
        <w:t xml:space="preserve"> by providing the Department Chair brief written evaluation</w:t>
      </w:r>
      <w:r w:rsidR="007A76AB" w:rsidRPr="00E2214C">
        <w:rPr>
          <w:rFonts w:ascii="Times New Roman" w:eastAsia="Times New Roman" w:hAnsi="Times New Roman" w:cs="Times New Roman"/>
          <w:sz w:val="24"/>
          <w:szCs w:val="24"/>
        </w:rPr>
        <w:t>s</w:t>
      </w:r>
      <w:r w:rsidRPr="00E2214C">
        <w:rPr>
          <w:rFonts w:ascii="Times New Roman" w:eastAsia="Times New Roman" w:hAnsi="Times New Roman" w:cs="Times New Roman"/>
          <w:sz w:val="24"/>
          <w:szCs w:val="24"/>
        </w:rPr>
        <w:t xml:space="preserve"> of tenure track faculty progress.  The faculty member</w:t>
      </w:r>
      <w:r w:rsidR="00BF649C"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s expectations should be aligned with the Department</w:t>
      </w:r>
      <w:r w:rsidR="00BF649C"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s goals and needs, the interests and expertise of the faculty member, and the general evaluation criteria listed above.</w:t>
      </w:r>
    </w:p>
    <w:p w14:paraId="5D57E096"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5B56F5E6"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Every effort will be made to find mutually acceptable objectives; however, in some cases it may be necessary to assign particular objectives to a faculty member in order for the Department to achieve its goals and needs. The objectives and job description will be recorded and copies retained by the faculty member and the Department Chairperson.</w:t>
      </w:r>
    </w:p>
    <w:p w14:paraId="0F4FBDB3"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22453D2" w14:textId="4593D315" w:rsidR="00DC4B8D" w:rsidRPr="00E2214C" w:rsidRDefault="00A51230" w:rsidP="00DC4B8D">
      <w:pPr>
        <w:widowControl w:val="0"/>
        <w:autoSpaceDE w:val="0"/>
        <w:autoSpaceDN w:val="0"/>
        <w:adjustRightInd w:val="0"/>
        <w:spacing w:after="0" w:line="240" w:lineRule="auto"/>
        <w:ind w:left="720"/>
        <w:rPr>
          <w:rFonts w:ascii="Times New Roman" w:eastAsia="Times New Roman" w:hAnsi="Times New Roman" w:cs="Times New Roman"/>
          <w:i/>
          <w:sz w:val="24"/>
          <w:szCs w:val="24"/>
        </w:rPr>
      </w:pPr>
      <w:r w:rsidRPr="00E2214C">
        <w:rPr>
          <w:rFonts w:ascii="Times New Roman" w:eastAsia="Times New Roman" w:hAnsi="Times New Roman" w:cs="Times New Roman"/>
          <w:i/>
          <w:sz w:val="24"/>
          <w:szCs w:val="24"/>
        </w:rPr>
        <w:t>7b (</w:t>
      </w:r>
      <w:proofErr w:type="spellStart"/>
      <w:r w:rsidRPr="00E2214C">
        <w:rPr>
          <w:rFonts w:ascii="Times New Roman" w:eastAsia="Times New Roman" w:hAnsi="Times New Roman" w:cs="Times New Roman"/>
          <w:i/>
          <w:sz w:val="24"/>
          <w:szCs w:val="24"/>
        </w:rPr>
        <w:t>i</w:t>
      </w:r>
      <w:proofErr w:type="spellEnd"/>
      <w:r w:rsidR="00DC4B8D" w:rsidRPr="00E2214C">
        <w:rPr>
          <w:rFonts w:ascii="Times New Roman" w:eastAsia="Times New Roman" w:hAnsi="Times New Roman" w:cs="Times New Roman"/>
          <w:i/>
          <w:sz w:val="24"/>
          <w:szCs w:val="24"/>
        </w:rPr>
        <w:t>) Tenure-Track Faculty</w:t>
      </w:r>
    </w:p>
    <w:p w14:paraId="405898F2"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6B05BE8" w14:textId="1E3780BE"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At the beginning of each academic or appointment year, the Department Chair and the individual tenure-track faculty member will establish objectives for the upcoming year. At a time determined by the Department, the tenure track faculty member will prepare </w:t>
      </w:r>
      <w:r w:rsidR="007A76AB" w:rsidRPr="00E2214C">
        <w:rPr>
          <w:rFonts w:ascii="Times New Roman" w:eastAsia="Times New Roman" w:hAnsi="Times New Roman" w:cs="Times New Roman"/>
          <w:sz w:val="24"/>
          <w:szCs w:val="24"/>
        </w:rPr>
        <w:t xml:space="preserve">the annual faculty report, which </w:t>
      </w:r>
      <w:r w:rsidRPr="00E2214C">
        <w:rPr>
          <w:rFonts w:ascii="Times New Roman" w:eastAsia="Times New Roman" w:hAnsi="Times New Roman" w:cs="Times New Roman"/>
          <w:sz w:val="24"/>
          <w:szCs w:val="24"/>
        </w:rPr>
        <w:t>summari</w:t>
      </w:r>
      <w:r w:rsidR="007A76AB" w:rsidRPr="00E2214C">
        <w:rPr>
          <w:rFonts w:ascii="Times New Roman" w:eastAsia="Times New Roman" w:hAnsi="Times New Roman" w:cs="Times New Roman"/>
          <w:sz w:val="24"/>
          <w:szCs w:val="24"/>
        </w:rPr>
        <w:t>z</w:t>
      </w:r>
      <w:r w:rsidRPr="00E2214C">
        <w:rPr>
          <w:rFonts w:ascii="Times New Roman" w:eastAsia="Times New Roman" w:hAnsi="Times New Roman" w:cs="Times New Roman"/>
          <w:sz w:val="24"/>
          <w:szCs w:val="24"/>
        </w:rPr>
        <w:t>es teaching, research, and service accomplishments</w:t>
      </w:r>
      <w:r w:rsidR="007A76AB" w:rsidRPr="00E2214C">
        <w:rPr>
          <w:rFonts w:ascii="Times New Roman" w:eastAsia="Times New Roman" w:hAnsi="Times New Roman" w:cs="Times New Roman"/>
          <w:sz w:val="24"/>
          <w:szCs w:val="24"/>
        </w:rPr>
        <w:t>, and provide c</w:t>
      </w:r>
      <w:r w:rsidRPr="00E2214C">
        <w:rPr>
          <w:rFonts w:ascii="Times New Roman" w:eastAsia="Times New Roman" w:hAnsi="Times New Roman" w:cs="Times New Roman"/>
          <w:sz w:val="24"/>
          <w:szCs w:val="24"/>
        </w:rPr>
        <w:t xml:space="preserve">opies of </w:t>
      </w:r>
      <w:r w:rsidR="007A76AB" w:rsidRPr="00E2214C">
        <w:rPr>
          <w:rFonts w:ascii="Times New Roman" w:eastAsia="Times New Roman" w:hAnsi="Times New Roman" w:cs="Times New Roman"/>
          <w:sz w:val="24"/>
          <w:szCs w:val="24"/>
        </w:rPr>
        <w:t xml:space="preserve">the annual faculty report and an updated curriculum vitae to </w:t>
      </w:r>
      <w:r w:rsidRPr="00E2214C">
        <w:rPr>
          <w:rFonts w:ascii="Times New Roman" w:eastAsia="Times New Roman" w:hAnsi="Times New Roman" w:cs="Times New Roman"/>
          <w:sz w:val="24"/>
          <w:szCs w:val="24"/>
        </w:rPr>
        <w:t xml:space="preserve">the Department </w:t>
      </w:r>
      <w:r w:rsidR="007A76AB" w:rsidRPr="00E2214C">
        <w:rPr>
          <w:rFonts w:ascii="Times New Roman" w:eastAsia="Times New Roman" w:hAnsi="Times New Roman" w:cs="Times New Roman"/>
          <w:sz w:val="24"/>
          <w:szCs w:val="24"/>
        </w:rPr>
        <w:t xml:space="preserve">chair </w:t>
      </w:r>
      <w:r w:rsidRPr="00E2214C">
        <w:rPr>
          <w:rFonts w:ascii="Times New Roman" w:eastAsia="Times New Roman" w:hAnsi="Times New Roman" w:cs="Times New Roman"/>
          <w:sz w:val="24"/>
          <w:szCs w:val="24"/>
        </w:rPr>
        <w:t>and</w:t>
      </w:r>
      <w:r w:rsidR="007A76AB" w:rsidRPr="00E2214C">
        <w:rPr>
          <w:rFonts w:ascii="Times New Roman" w:eastAsia="Times New Roman" w:hAnsi="Times New Roman" w:cs="Times New Roman"/>
          <w:sz w:val="24"/>
          <w:szCs w:val="24"/>
        </w:rPr>
        <w:t xml:space="preserve"> Department </w:t>
      </w:r>
      <w:r w:rsidRPr="00E2214C">
        <w:rPr>
          <w:rFonts w:ascii="Times New Roman" w:eastAsia="Times New Roman" w:hAnsi="Times New Roman" w:cs="Times New Roman"/>
          <w:sz w:val="24"/>
          <w:szCs w:val="24"/>
        </w:rPr>
        <w:t>PT&amp;E Committee</w:t>
      </w:r>
      <w:r w:rsidR="007A76AB" w:rsidRPr="00E2214C">
        <w:rPr>
          <w:rFonts w:ascii="Times New Roman" w:eastAsia="Times New Roman" w:hAnsi="Times New Roman" w:cs="Times New Roman"/>
          <w:sz w:val="24"/>
          <w:szCs w:val="24"/>
        </w:rPr>
        <w:t xml:space="preserve"> for their review</w:t>
      </w:r>
      <w:r w:rsidRPr="00E2214C">
        <w:rPr>
          <w:rFonts w:ascii="Times New Roman" w:eastAsia="Times New Roman" w:hAnsi="Times New Roman" w:cs="Times New Roman"/>
          <w:sz w:val="24"/>
          <w:szCs w:val="24"/>
        </w:rPr>
        <w:t>.</w:t>
      </w:r>
    </w:p>
    <w:p w14:paraId="21F0529C"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26C2AB19" w14:textId="63F1D84E"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The Chair and the Department PT&amp;E Committee will each provide a performance </w:t>
      </w:r>
      <w:r w:rsidR="007A76AB" w:rsidRPr="00E2214C">
        <w:rPr>
          <w:rFonts w:ascii="Times New Roman" w:eastAsia="Times New Roman" w:hAnsi="Times New Roman" w:cs="Times New Roman"/>
          <w:sz w:val="24"/>
          <w:szCs w:val="24"/>
        </w:rPr>
        <w:t xml:space="preserve">evaluation </w:t>
      </w:r>
      <w:r w:rsidRPr="00E2214C">
        <w:rPr>
          <w:rFonts w:ascii="Times New Roman" w:eastAsia="Times New Roman" w:hAnsi="Times New Roman" w:cs="Times New Roman"/>
          <w:sz w:val="24"/>
          <w:szCs w:val="24"/>
        </w:rPr>
        <w:t>report to the tenure-track faculty member</w:t>
      </w:r>
      <w:r w:rsidR="007A76AB"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 xml:space="preserve"> The reports </w:t>
      </w:r>
      <w:r w:rsidR="007A76AB" w:rsidRPr="00E2214C">
        <w:rPr>
          <w:rFonts w:ascii="Times New Roman" w:eastAsia="Times New Roman" w:hAnsi="Times New Roman" w:cs="Times New Roman"/>
          <w:sz w:val="24"/>
          <w:szCs w:val="24"/>
        </w:rPr>
        <w:t xml:space="preserve">will </w:t>
      </w:r>
      <w:r w:rsidRPr="00E2214C">
        <w:rPr>
          <w:rFonts w:ascii="Times New Roman" w:eastAsia="Times New Roman" w:hAnsi="Times New Roman" w:cs="Times New Roman"/>
          <w:sz w:val="24"/>
          <w:szCs w:val="24"/>
        </w:rPr>
        <w:t>include an assessment of the faculty member</w:t>
      </w:r>
      <w:r w:rsidR="00BF649C"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 xml:space="preserve">s progress toward tenure and promotion. Should either report indicate that the faculty member is not making satisfactory progress toward tenure, according </w:t>
      </w:r>
      <w:r w:rsidR="00EA27DA" w:rsidRPr="00E2214C">
        <w:rPr>
          <w:rFonts w:ascii="Times New Roman" w:eastAsia="Times New Roman" w:hAnsi="Times New Roman" w:cs="Times New Roman"/>
          <w:sz w:val="24"/>
          <w:szCs w:val="24"/>
        </w:rPr>
        <w:t xml:space="preserve">to </w:t>
      </w:r>
      <w:r w:rsidRPr="00E2214C">
        <w:rPr>
          <w:rFonts w:ascii="Times New Roman" w:eastAsia="Times New Roman" w:hAnsi="Times New Roman" w:cs="Times New Roman"/>
          <w:sz w:val="24"/>
          <w:szCs w:val="24"/>
        </w:rPr>
        <w:t>the Department and College criteria the resulting recommendation will be for non-</w:t>
      </w:r>
      <w:proofErr w:type="gramStart"/>
      <w:r w:rsidRPr="00E2214C">
        <w:rPr>
          <w:rFonts w:ascii="Times New Roman" w:eastAsia="Times New Roman" w:hAnsi="Times New Roman" w:cs="Times New Roman"/>
          <w:sz w:val="24"/>
          <w:szCs w:val="24"/>
        </w:rPr>
        <w:t>renewal.</w:t>
      </w:r>
      <w:proofErr w:type="gramEnd"/>
      <w:r w:rsidRPr="00E2214C">
        <w:rPr>
          <w:rFonts w:ascii="Times New Roman" w:eastAsia="Times New Roman" w:hAnsi="Times New Roman" w:cs="Times New Roman"/>
          <w:sz w:val="24"/>
          <w:szCs w:val="24"/>
        </w:rPr>
        <w:t xml:space="preserve"> If the Chair and the Department PT&amp;E Committee agree on a recommendation for non-renewal, their reports (and recommendations) shall be submitted through the Dean to the Provost. If the Chair and the Department PT&amp;E committee do not agree, the Dean and the College PT&amp;E Committee will each make a</w:t>
      </w:r>
      <w:r w:rsidR="00EA27DA" w:rsidRPr="00E2214C">
        <w:rPr>
          <w:rFonts w:ascii="Times New Roman" w:eastAsia="Times New Roman" w:hAnsi="Times New Roman" w:cs="Times New Roman"/>
          <w:sz w:val="24"/>
          <w:szCs w:val="24"/>
        </w:rPr>
        <w:t xml:space="preserve"> </w:t>
      </w:r>
      <w:r w:rsidRPr="00E2214C">
        <w:rPr>
          <w:rFonts w:ascii="Times New Roman" w:eastAsia="Times New Roman" w:hAnsi="Times New Roman" w:cs="Times New Roman"/>
          <w:sz w:val="24"/>
          <w:szCs w:val="24"/>
        </w:rPr>
        <w:t>recommendation. The four recommendations will t</w:t>
      </w:r>
      <w:r w:rsidR="00AA25ED" w:rsidRPr="00E2214C">
        <w:rPr>
          <w:rFonts w:ascii="Times New Roman" w:eastAsia="Times New Roman" w:hAnsi="Times New Roman" w:cs="Times New Roman"/>
          <w:sz w:val="24"/>
          <w:szCs w:val="24"/>
        </w:rPr>
        <w:t>hen be submitted to the Provost. T</w:t>
      </w:r>
      <w:r w:rsidRPr="00E2214C">
        <w:rPr>
          <w:rFonts w:ascii="Times New Roman" w:eastAsia="Times New Roman" w:hAnsi="Times New Roman" w:cs="Times New Roman"/>
          <w:sz w:val="24"/>
          <w:szCs w:val="24"/>
        </w:rPr>
        <w:t xml:space="preserve">he process of non-renewal and the subsequent termination will be according to </w:t>
      </w:r>
      <w:r w:rsidR="00D93808" w:rsidRPr="00E2214C">
        <w:rPr>
          <w:rFonts w:ascii="Times New Roman" w:hAnsi="Times New Roman" w:cs="Times New Roman"/>
          <w:sz w:val="24"/>
          <w:szCs w:val="24"/>
        </w:rPr>
        <w:t>North Dakota State University</w:t>
      </w:r>
      <w:r w:rsidRPr="00E2214C">
        <w:rPr>
          <w:rFonts w:ascii="Times New Roman" w:eastAsia="Times New Roman" w:hAnsi="Times New Roman" w:cs="Times New Roman"/>
          <w:sz w:val="24"/>
          <w:szCs w:val="24"/>
        </w:rPr>
        <w:t xml:space="preserve"> Policy Manual Section 350.3.</w:t>
      </w:r>
    </w:p>
    <w:p w14:paraId="1B9DEFAF"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500CB38" w14:textId="3978D528"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For third year reviews, the tenure-track candidate will complete the evaluation documents defined by the current </w:t>
      </w:r>
      <w:r w:rsidR="00D93808" w:rsidRPr="00E2214C">
        <w:rPr>
          <w:rFonts w:ascii="Times New Roman" w:hAnsi="Times New Roman" w:cs="Times New Roman"/>
          <w:sz w:val="24"/>
          <w:szCs w:val="24"/>
        </w:rPr>
        <w:t>North Dakota State University</w:t>
      </w:r>
      <w:r w:rsidRPr="00E2214C">
        <w:rPr>
          <w:rFonts w:ascii="Times New Roman" w:eastAsia="Times New Roman" w:hAnsi="Times New Roman" w:cs="Times New Roman"/>
          <w:sz w:val="24"/>
          <w:szCs w:val="24"/>
        </w:rPr>
        <w:t xml:space="preserve"> Guidelines for Promotion and Tenure Portfolio Preparation. Completed portfolios are to be submitted for review by the Department Chair, Departmental PT&amp;E Committee, the Dean of Engineering</w:t>
      </w:r>
      <w:r w:rsidR="008076D1" w:rsidRPr="00E2214C">
        <w:rPr>
          <w:rFonts w:ascii="Times New Roman" w:eastAsia="Times New Roman" w:hAnsi="Times New Roman" w:cs="Times New Roman"/>
          <w:sz w:val="24"/>
          <w:szCs w:val="24"/>
        </w:rPr>
        <w:t xml:space="preserve"> and the College of Engineering PT&amp;E Committee</w:t>
      </w:r>
      <w:r w:rsidRPr="00E2214C">
        <w:rPr>
          <w:rFonts w:ascii="Times New Roman" w:eastAsia="Times New Roman" w:hAnsi="Times New Roman" w:cs="Times New Roman"/>
          <w:sz w:val="24"/>
          <w:szCs w:val="24"/>
        </w:rPr>
        <w:t xml:space="preserve"> in accordance with </w:t>
      </w:r>
      <w:r w:rsidR="008076D1" w:rsidRPr="00E2214C">
        <w:rPr>
          <w:rFonts w:ascii="Times New Roman" w:eastAsia="Times New Roman" w:hAnsi="Times New Roman" w:cs="Times New Roman"/>
          <w:sz w:val="24"/>
          <w:szCs w:val="24"/>
        </w:rPr>
        <w:t>College of Engineering</w:t>
      </w:r>
      <w:r w:rsidR="00EA27DA" w:rsidRPr="00E2214C">
        <w:rPr>
          <w:rFonts w:ascii="Times New Roman" w:eastAsia="Times New Roman" w:hAnsi="Times New Roman" w:cs="Times New Roman"/>
          <w:sz w:val="24"/>
          <w:szCs w:val="24"/>
        </w:rPr>
        <w:t xml:space="preserve"> PT&amp;E guidelines</w:t>
      </w:r>
      <w:r w:rsidR="008076D1" w:rsidRPr="00E2214C">
        <w:rPr>
          <w:rFonts w:ascii="Times New Roman" w:eastAsia="Times New Roman" w:hAnsi="Times New Roman" w:cs="Times New Roman"/>
          <w:sz w:val="24"/>
          <w:szCs w:val="24"/>
        </w:rPr>
        <w:t>.</w:t>
      </w:r>
    </w:p>
    <w:p w14:paraId="2FFD98ED" w14:textId="77777777" w:rsidR="008076D1" w:rsidRPr="00E2214C" w:rsidRDefault="008076D1"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2232322B" w14:textId="6A1B787A"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At the beginning of the last year of the probationary period, both the Department PT&amp;E Committee and the Department Cha</w:t>
      </w:r>
      <w:r w:rsidR="00BF649C" w:rsidRPr="00E2214C">
        <w:rPr>
          <w:rFonts w:ascii="Times New Roman" w:eastAsia="Times New Roman" w:hAnsi="Times New Roman" w:cs="Times New Roman"/>
          <w:sz w:val="24"/>
          <w:szCs w:val="24"/>
        </w:rPr>
        <w:t>ir will evaluate the applicant’</w:t>
      </w:r>
      <w:r w:rsidRPr="00E2214C">
        <w:rPr>
          <w:rFonts w:ascii="Times New Roman" w:eastAsia="Times New Roman" w:hAnsi="Times New Roman" w:cs="Times New Roman"/>
          <w:sz w:val="24"/>
          <w:szCs w:val="24"/>
        </w:rPr>
        <w:t>s record and submit individual recommendations for tenure/promotion to the College PT&amp;E Committee and the Dean of Engineering by November 1st of the final probationary period.</w:t>
      </w:r>
    </w:p>
    <w:p w14:paraId="5A80D120"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7ABB5FBA" w14:textId="531596BC"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i/>
          <w:sz w:val="24"/>
          <w:szCs w:val="24"/>
        </w:rPr>
      </w:pPr>
      <w:r w:rsidRPr="00E2214C">
        <w:rPr>
          <w:rFonts w:ascii="Times New Roman" w:eastAsia="Times New Roman" w:hAnsi="Times New Roman" w:cs="Times New Roman"/>
          <w:i/>
          <w:sz w:val="24"/>
          <w:szCs w:val="24"/>
        </w:rPr>
        <w:t>7b (</w:t>
      </w:r>
      <w:r w:rsidR="00A51230" w:rsidRPr="00E2214C">
        <w:rPr>
          <w:rFonts w:ascii="Times New Roman" w:eastAsia="Times New Roman" w:hAnsi="Times New Roman" w:cs="Times New Roman"/>
          <w:i/>
          <w:sz w:val="24"/>
          <w:szCs w:val="24"/>
        </w:rPr>
        <w:t>ii</w:t>
      </w:r>
      <w:r w:rsidRPr="00E2214C">
        <w:rPr>
          <w:rFonts w:ascii="Times New Roman" w:eastAsia="Times New Roman" w:hAnsi="Times New Roman" w:cs="Times New Roman"/>
          <w:i/>
          <w:sz w:val="24"/>
          <w:szCs w:val="24"/>
        </w:rPr>
        <w:t>) Tenured Faculty</w:t>
      </w:r>
    </w:p>
    <w:p w14:paraId="1AE391CB"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2FE6A16B" w14:textId="3DCBD103" w:rsidR="0078360C" w:rsidRPr="00E2214C" w:rsidRDefault="005F764D" w:rsidP="0078360C">
      <w:pPr>
        <w:widowControl w:val="0"/>
        <w:autoSpaceDE w:val="0"/>
        <w:autoSpaceDN w:val="0"/>
        <w:adjustRightInd w:val="0"/>
        <w:spacing w:after="120" w:line="240" w:lineRule="auto"/>
        <w:ind w:left="720"/>
        <w:rPr>
          <w:rFonts w:ascii="Times New Roman" w:hAnsi="Times New Roman" w:cs="Times New Roman"/>
          <w:sz w:val="24"/>
          <w:szCs w:val="24"/>
        </w:rPr>
      </w:pPr>
      <w:r w:rsidRPr="00E2214C">
        <w:rPr>
          <w:rFonts w:ascii="Times New Roman" w:hAnsi="Times New Roman" w:cs="Times New Roman"/>
          <w:sz w:val="24"/>
          <w:szCs w:val="24"/>
        </w:rPr>
        <w:t xml:space="preserve">Tenured </w:t>
      </w:r>
      <w:r w:rsidR="0078360C" w:rsidRPr="00E2214C">
        <w:rPr>
          <w:rFonts w:ascii="Times New Roman" w:hAnsi="Times New Roman" w:cs="Times New Roman"/>
          <w:sz w:val="24"/>
          <w:szCs w:val="24"/>
        </w:rPr>
        <w:t xml:space="preserve">faculty members </w:t>
      </w:r>
      <w:r w:rsidRPr="00E2214C">
        <w:rPr>
          <w:rFonts w:ascii="Times New Roman" w:hAnsi="Times New Roman" w:cs="Times New Roman"/>
          <w:sz w:val="24"/>
          <w:szCs w:val="24"/>
        </w:rPr>
        <w:t xml:space="preserve">are expected to </w:t>
      </w:r>
      <w:r w:rsidR="0078360C" w:rsidRPr="00E2214C">
        <w:rPr>
          <w:rFonts w:ascii="Times New Roman" w:hAnsi="Times New Roman" w:cs="Times New Roman"/>
          <w:sz w:val="24"/>
          <w:szCs w:val="24"/>
        </w:rPr>
        <w:t xml:space="preserve">periodically present a portfolio for review to encourage continued growth in teaching, research, and service. Portfolios will be reviewed by Department and College PTE Committees and will be used to provide constructive feedback. Associate Professors </w:t>
      </w:r>
      <w:r w:rsidRPr="00E2214C">
        <w:rPr>
          <w:rFonts w:ascii="Times New Roman" w:hAnsi="Times New Roman" w:cs="Times New Roman"/>
          <w:sz w:val="24"/>
          <w:szCs w:val="24"/>
        </w:rPr>
        <w:t xml:space="preserve">are to </w:t>
      </w:r>
      <w:r w:rsidR="0078360C" w:rsidRPr="00E2214C">
        <w:rPr>
          <w:rFonts w:ascii="Times New Roman" w:hAnsi="Times New Roman" w:cs="Times New Roman"/>
          <w:sz w:val="24"/>
          <w:szCs w:val="24"/>
        </w:rPr>
        <w:t>submit a portfolio for review every four years after achieving rank and Professors will submit a portfolio every six years after achieving rank. The portfolio should consist of an updated CV, and narratives describing scholarly development in the areas of teaching, research, and service as outlined in Section 6, above, and the annual performance reports provided by the Department Chair/Head. Faculty are encouraged to use appendices to include other documentation that will help the committees understand the faculty member’s progression</w:t>
      </w:r>
      <w:r w:rsidRPr="00E2214C">
        <w:rPr>
          <w:rFonts w:ascii="Times New Roman" w:hAnsi="Times New Roman" w:cs="Times New Roman"/>
          <w:sz w:val="24"/>
          <w:szCs w:val="24"/>
        </w:rPr>
        <w:t xml:space="preserve"> </w:t>
      </w:r>
      <w:r w:rsidR="0078360C" w:rsidRPr="00E2214C">
        <w:rPr>
          <w:rFonts w:ascii="Times New Roman" w:hAnsi="Times New Roman" w:cs="Times New Roman"/>
          <w:sz w:val="24"/>
          <w:szCs w:val="24"/>
        </w:rPr>
        <w:t>of scholarship and provide appropriate feedback. Such documentation may include external reviews of research, manuscript or grant proposal review comments, peer reviews of teaching, or documentation of professional service activity and accomplishments. Feedback will be returned to the faculty member and the Department Chair/Head as a reference for continued annual evaluations.</w:t>
      </w:r>
    </w:p>
    <w:p w14:paraId="108A86FF" w14:textId="77777777" w:rsidR="00A51230" w:rsidRPr="00E2214C" w:rsidRDefault="00A51230"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E01F03B"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7c. Recommendations</w:t>
      </w:r>
    </w:p>
    <w:p w14:paraId="4AA6780C" w14:textId="77777777" w:rsidR="00A51230" w:rsidRPr="00E2214C" w:rsidRDefault="00A51230"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B69DC1A" w14:textId="46BD0BA0" w:rsidR="00DC4B8D" w:rsidRPr="00E2214C" w:rsidRDefault="000A58F3"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The </w:t>
      </w:r>
      <w:r w:rsidR="00875556" w:rsidRPr="00E2214C">
        <w:rPr>
          <w:rFonts w:ascii="Times New Roman" w:eastAsia="Times New Roman" w:hAnsi="Times New Roman" w:cs="Times New Roman"/>
          <w:sz w:val="24"/>
          <w:szCs w:val="24"/>
        </w:rPr>
        <w:t xml:space="preserve">recommendations </w:t>
      </w:r>
      <w:r w:rsidRPr="00E2214C">
        <w:rPr>
          <w:rFonts w:ascii="Times New Roman" w:eastAsia="Times New Roman" w:hAnsi="Times New Roman" w:cs="Times New Roman"/>
          <w:sz w:val="24"/>
          <w:szCs w:val="24"/>
        </w:rPr>
        <w:t>of the Department PT&amp;E Committee and the chair shall be sent to the Dean and Colle</w:t>
      </w:r>
      <w:r w:rsidR="00875556" w:rsidRPr="00E2214C">
        <w:rPr>
          <w:rFonts w:ascii="Times New Roman" w:eastAsia="Times New Roman" w:hAnsi="Times New Roman" w:cs="Times New Roman"/>
          <w:sz w:val="24"/>
          <w:szCs w:val="24"/>
        </w:rPr>
        <w:t>ge</w:t>
      </w:r>
      <w:r w:rsidRPr="00E2214C">
        <w:rPr>
          <w:rFonts w:ascii="Times New Roman" w:eastAsia="Times New Roman" w:hAnsi="Times New Roman" w:cs="Times New Roman"/>
          <w:sz w:val="24"/>
          <w:szCs w:val="24"/>
        </w:rPr>
        <w:t xml:space="preserve"> PT&amp;E Committee. </w:t>
      </w:r>
      <w:r w:rsidR="00DC4B8D" w:rsidRPr="00E2214C">
        <w:rPr>
          <w:rFonts w:ascii="Times New Roman" w:eastAsia="Times New Roman" w:hAnsi="Times New Roman" w:cs="Times New Roman"/>
          <w:sz w:val="24"/>
          <w:szCs w:val="24"/>
        </w:rPr>
        <w:t>The Dean of the College of Engineering and the College PT&amp;E Committee will independently prepare recommendations in compliance with the University Policy (Section 352). The Dean and the College PT&amp;E Committee will send their final recommendations along with the individual</w:t>
      </w:r>
      <w:r w:rsidR="00BF649C"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 xml:space="preserve">s application to the Provost </w:t>
      </w:r>
      <w:r w:rsidR="00DC4B8D" w:rsidRPr="00E2214C">
        <w:rPr>
          <w:rFonts w:ascii="Times New Roman" w:eastAsia="Times New Roman" w:hAnsi="Times New Roman" w:cs="Times New Roman"/>
          <w:sz w:val="24"/>
          <w:szCs w:val="24"/>
        </w:rPr>
        <w:t>by January 5 for final disposition.</w:t>
      </w:r>
    </w:p>
    <w:p w14:paraId="6F583CFF" w14:textId="77777777" w:rsidR="00A51230" w:rsidRPr="00E2214C" w:rsidRDefault="00A51230"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72DC087" w14:textId="5A64D19B"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7d. Early Promotion and Tenure</w:t>
      </w:r>
    </w:p>
    <w:p w14:paraId="2728FE45" w14:textId="77777777" w:rsidR="00A51230" w:rsidRPr="00E2214C" w:rsidRDefault="00A51230"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713FCC90" w14:textId="7B5E43BA"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For a faculty member without previous academic-relevant experience, eligibility for tenure requires a probationary period of six years and in this case, evaluations for promotions to Associate Professor and granting of tenure are conducted concurrently. Within this probationary period</w:t>
      </w:r>
      <w:r w:rsidR="001601FE" w:rsidRPr="00E2214C">
        <w:rPr>
          <w:rFonts w:ascii="Times New Roman" w:eastAsia="Times New Roman" w:hAnsi="Times New Roman" w:cs="Times New Roman"/>
          <w:sz w:val="24"/>
          <w:szCs w:val="24"/>
        </w:rPr>
        <w:t>,</w:t>
      </w:r>
      <w:r w:rsidRPr="00E2214C">
        <w:rPr>
          <w:rFonts w:ascii="Times New Roman" w:eastAsia="Times New Roman" w:hAnsi="Times New Roman" w:cs="Times New Roman"/>
          <w:sz w:val="24"/>
          <w:szCs w:val="24"/>
        </w:rPr>
        <w:t xml:space="preserve"> faculty members who have demonstrated exceptional academic accomplishments may apply for early promotion (without tenure) prior to the completion of the six years of the probationary period. Petitions for early promotion shall be initiated by department heads/chairs, and not by faculty members themselves.</w:t>
      </w:r>
    </w:p>
    <w:p w14:paraId="6AAF6BD0" w14:textId="77777777" w:rsidR="00A51230" w:rsidRPr="00E2214C" w:rsidRDefault="00A51230"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797A221" w14:textId="23723BEC" w:rsidR="00DC4B8D"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A faculty member with relevant professional/academic experience at the time of initial </w:t>
      </w:r>
      <w:r w:rsidR="00D93808" w:rsidRPr="00E2214C">
        <w:rPr>
          <w:rFonts w:ascii="Times New Roman" w:hAnsi="Times New Roman" w:cs="Times New Roman"/>
          <w:sz w:val="24"/>
          <w:szCs w:val="24"/>
        </w:rPr>
        <w:t>North Dakota State University</w:t>
      </w:r>
      <w:r w:rsidRPr="00E2214C">
        <w:rPr>
          <w:rFonts w:ascii="Times New Roman" w:eastAsia="Times New Roman" w:hAnsi="Times New Roman" w:cs="Times New Roman"/>
          <w:sz w:val="24"/>
          <w:szCs w:val="24"/>
        </w:rPr>
        <w:t xml:space="preserve"> appointment may be awarded credit toward tenure.  Awarded credit must be stated in the original hiring contract.  There are two options:</w:t>
      </w:r>
    </w:p>
    <w:p w14:paraId="70719E1B" w14:textId="5E162015" w:rsidR="0002312B" w:rsidRDefault="0002312B"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1D9B161" w14:textId="77777777" w:rsidR="0002312B" w:rsidRPr="00E2214C" w:rsidRDefault="0002312B"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9952B62" w14:textId="4DE57AF1" w:rsidR="00084C14" w:rsidRPr="00E2214C" w:rsidRDefault="00084C14" w:rsidP="00084C14">
      <w:pPr>
        <w:pStyle w:val="ListParagraph"/>
        <w:numPr>
          <w:ilvl w:val="0"/>
          <w:numId w:val="30"/>
        </w:numPr>
        <w:spacing w:after="0" w:line="240" w:lineRule="auto"/>
        <w:contextualSpacing w:val="0"/>
        <w:rPr>
          <w:rFonts w:ascii="Times New Roman" w:hAnsi="Times New Roman" w:cs="Times New Roman"/>
          <w:sz w:val="24"/>
          <w:szCs w:val="24"/>
        </w:rPr>
      </w:pPr>
      <w:r w:rsidRPr="00E2214C">
        <w:rPr>
          <w:rFonts w:ascii="Times New Roman" w:hAnsi="Times New Roman" w:cs="Times New Roman"/>
          <w:bCs/>
          <w:sz w:val="24"/>
          <w:szCs w:val="24"/>
        </w:rPr>
        <w:t xml:space="preserve">Faculty </w:t>
      </w:r>
      <w:proofErr w:type="gramStart"/>
      <w:r w:rsidRPr="00E2214C">
        <w:rPr>
          <w:rFonts w:ascii="Times New Roman" w:hAnsi="Times New Roman" w:cs="Times New Roman"/>
          <w:bCs/>
          <w:sz w:val="24"/>
          <w:szCs w:val="24"/>
        </w:rPr>
        <w:t>may be allowed</w:t>
      </w:r>
      <w:proofErr w:type="gramEnd"/>
      <w:r w:rsidRPr="00E2214C">
        <w:rPr>
          <w:rFonts w:ascii="Times New Roman" w:hAnsi="Times New Roman" w:cs="Times New Roman"/>
          <w:bCs/>
          <w:sz w:val="24"/>
          <w:szCs w:val="24"/>
        </w:rPr>
        <w:t xml:space="preserve"> the full six-year probationary period with the option of applying for promotion and/or tenure at any time following t</w:t>
      </w:r>
      <w:r w:rsidR="00F83157" w:rsidRPr="00E2214C">
        <w:rPr>
          <w:rFonts w:ascii="Times New Roman" w:hAnsi="Times New Roman" w:cs="Times New Roman"/>
          <w:bCs/>
          <w:sz w:val="24"/>
          <w:szCs w:val="24"/>
        </w:rPr>
        <w:t>hree years of academic service.</w:t>
      </w:r>
    </w:p>
    <w:p w14:paraId="4F33A288" w14:textId="22C4F937" w:rsidR="00DC4B8D" w:rsidRPr="00E2214C" w:rsidRDefault="00DC4B8D" w:rsidP="00EE563F">
      <w:pPr>
        <w:pStyle w:val="ListParagraph"/>
        <w:widowControl w:val="0"/>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Faculty may be given one to three years of credit (maximum allowed) and then would apply for promotion and tenure prior to the sixth year of academic service.  For example: given one year of credit, the promotion and tenure application would be due in the fifth year of service; given three years of credit, the promotion and tenure application would be due in the third year of service.</w:t>
      </w:r>
    </w:p>
    <w:p w14:paraId="0AEF0D62" w14:textId="0B5AA889" w:rsidR="00DC4B8D" w:rsidRPr="00E2214C" w:rsidRDefault="00DC4B8D" w:rsidP="0002312B">
      <w:pPr>
        <w:pStyle w:val="ListParagraph"/>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0FE11124"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85B4FD2"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In either option, failure to achieve tenure will lead to a terminal year contract.</w:t>
      </w:r>
    </w:p>
    <w:p w14:paraId="7E6AA5FA" w14:textId="77777777" w:rsidR="009F587A" w:rsidRPr="00E2214C" w:rsidRDefault="009F587A"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7211F88A" w14:textId="39013568"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7e. Extension of Probationary Period</w:t>
      </w:r>
    </w:p>
    <w:p w14:paraId="746D3AE2" w14:textId="77777777" w:rsidR="00A51230" w:rsidRPr="00E2214C" w:rsidRDefault="00A51230"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bookmarkStart w:id="0" w:name="_GoBack"/>
      <w:bookmarkEnd w:id="0"/>
    </w:p>
    <w:p w14:paraId="3093BDDF" w14:textId="1B2791B9" w:rsidR="006C5D82" w:rsidRPr="00E2214C" w:rsidRDefault="006C5D82" w:rsidP="006C5D82">
      <w:pPr>
        <w:spacing w:after="120"/>
        <w:ind w:left="720"/>
        <w:rPr>
          <w:rFonts w:ascii="Times New Roman" w:hAnsi="Times New Roman" w:cs="Times New Roman"/>
        </w:rPr>
      </w:pPr>
      <w:r w:rsidRPr="00E2214C">
        <w:rPr>
          <w:rFonts w:ascii="Times New Roman" w:hAnsi="Times New Roman" w:cs="Times New Roman"/>
        </w:rPr>
        <w:t>According to NDSU Policy 352 Section 3.6, a faculty member may request an extension of the probationary period not to exceed three years based on institutional, family or personal circumstances.  The request may be made any time during the probationary period prior to the sixth year (or prior to the year in which the portfolio is due). 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Denial of an extension may be appealed under University Policy 350.4.</w:t>
      </w:r>
    </w:p>
    <w:p w14:paraId="1D78F567" w14:textId="77777777" w:rsidR="00A51230" w:rsidRPr="00E2214C" w:rsidRDefault="00A51230"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E2D734D" w14:textId="77777777" w:rsidR="00DC4B8D" w:rsidRPr="00E2214C" w:rsidRDefault="00DC4B8D"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Section 7f. Changes to the Department Criteria and Procedures</w:t>
      </w:r>
    </w:p>
    <w:p w14:paraId="446B294A" w14:textId="77777777" w:rsidR="00A51230" w:rsidRPr="00E2214C" w:rsidRDefault="00A51230" w:rsidP="00DC4B8D">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3608909C" w14:textId="69EB5C32" w:rsidR="002F0941" w:rsidRDefault="00DC4B8D" w:rsidP="00477ECE">
      <w:pPr>
        <w:widowControl w:val="0"/>
        <w:autoSpaceDE w:val="0"/>
        <w:autoSpaceDN w:val="0"/>
        <w:adjustRightInd w:val="0"/>
        <w:spacing w:after="0"/>
        <w:rPr>
          <w:rFonts w:ascii="Times New Roman" w:eastAsia="Times New Roman" w:hAnsi="Times New Roman" w:cs="Times New Roman"/>
          <w:sz w:val="24"/>
          <w:szCs w:val="24"/>
        </w:rPr>
      </w:pPr>
      <w:r w:rsidRPr="00E2214C">
        <w:rPr>
          <w:rFonts w:ascii="Times New Roman" w:eastAsia="Times New Roman" w:hAnsi="Times New Roman" w:cs="Times New Roman"/>
          <w:sz w:val="24"/>
          <w:szCs w:val="24"/>
        </w:rPr>
        <w:t xml:space="preserve">The Criteria and Procedures for Promotion and Tenure Evaluation of the Department must be periodically reviewed and modified to comply with State Board of Higher Education, and/or </w:t>
      </w:r>
      <w:proofErr w:type="spellStart"/>
      <w:r w:rsidRPr="00E2214C">
        <w:rPr>
          <w:rFonts w:ascii="Times New Roman" w:eastAsia="Times New Roman" w:hAnsi="Times New Roman" w:cs="Times New Roman"/>
          <w:sz w:val="24"/>
          <w:szCs w:val="24"/>
        </w:rPr>
        <w:t>C</w:t>
      </w:r>
      <w:r w:rsidR="00A3246D" w:rsidRPr="00E2214C">
        <w:rPr>
          <w:rFonts w:ascii="Times New Roman" w:eastAsia="Times New Roman" w:hAnsi="Times New Roman" w:cs="Times New Roman"/>
          <w:sz w:val="24"/>
          <w:szCs w:val="24"/>
        </w:rPr>
        <w:t>o</w:t>
      </w:r>
      <w:r w:rsidRPr="00E2214C">
        <w:rPr>
          <w:rFonts w:ascii="Times New Roman" w:eastAsia="Times New Roman" w:hAnsi="Times New Roman" w:cs="Times New Roman"/>
          <w:sz w:val="24"/>
          <w:szCs w:val="24"/>
        </w:rPr>
        <w:t>E</w:t>
      </w:r>
      <w:proofErr w:type="spellEnd"/>
      <w:r w:rsidRPr="00E2214C">
        <w:rPr>
          <w:rFonts w:ascii="Times New Roman" w:eastAsia="Times New Roman" w:hAnsi="Times New Roman" w:cs="Times New Roman"/>
          <w:sz w:val="24"/>
          <w:szCs w:val="24"/>
        </w:rPr>
        <w:t xml:space="preserve"> policies, to correct errors, to edit for clarity, to respond to issues that </w:t>
      </w:r>
      <w:proofErr w:type="gramStart"/>
      <w:r w:rsidRPr="00E2214C">
        <w:rPr>
          <w:rFonts w:ascii="Times New Roman" w:eastAsia="Times New Roman" w:hAnsi="Times New Roman" w:cs="Times New Roman"/>
          <w:sz w:val="24"/>
          <w:szCs w:val="24"/>
        </w:rPr>
        <w:t>are not well addressed</w:t>
      </w:r>
      <w:proofErr w:type="gramEnd"/>
      <w:r w:rsidRPr="00E2214C">
        <w:rPr>
          <w:rFonts w:ascii="Times New Roman" w:eastAsia="Times New Roman" w:hAnsi="Times New Roman" w:cs="Times New Roman"/>
          <w:sz w:val="24"/>
          <w:szCs w:val="24"/>
        </w:rPr>
        <w:t>, and to reflect the intent of faculty related to the criteria and procedures. The Department PT&amp;E Committee will make the</w:t>
      </w:r>
      <w:r w:rsidR="008E09BC" w:rsidRPr="00E2214C">
        <w:rPr>
          <w:rFonts w:ascii="Times New Roman" w:eastAsia="Times New Roman" w:hAnsi="Times New Roman" w:cs="Times New Roman"/>
          <w:sz w:val="24"/>
          <w:szCs w:val="24"/>
        </w:rPr>
        <w:t xml:space="preserve"> requisite</w:t>
      </w:r>
      <w:r w:rsidRPr="00E2214C">
        <w:rPr>
          <w:rFonts w:ascii="Times New Roman" w:eastAsia="Times New Roman" w:hAnsi="Times New Roman" w:cs="Times New Roman"/>
          <w:sz w:val="24"/>
          <w:szCs w:val="24"/>
        </w:rPr>
        <w:t xml:space="preserve"> changes and </w:t>
      </w:r>
      <w:r w:rsidR="008E09BC" w:rsidRPr="00E2214C">
        <w:rPr>
          <w:rFonts w:ascii="Times New Roman" w:eastAsia="Times New Roman" w:hAnsi="Times New Roman" w:cs="Times New Roman"/>
          <w:sz w:val="24"/>
          <w:szCs w:val="24"/>
        </w:rPr>
        <w:t xml:space="preserve">send the changed document to faculty in the Department. </w:t>
      </w:r>
      <w:r w:rsidRPr="00E2214C">
        <w:rPr>
          <w:rFonts w:ascii="Times New Roman" w:eastAsia="Times New Roman" w:hAnsi="Times New Roman" w:cs="Times New Roman"/>
          <w:sz w:val="24"/>
          <w:szCs w:val="24"/>
        </w:rPr>
        <w:t xml:space="preserve">The proposed changes are to be shared with all department faculty members at least ten (10) business days prior to the voting. A </w:t>
      </w:r>
      <w:r w:rsidR="008E09BC" w:rsidRPr="00E2214C">
        <w:rPr>
          <w:rFonts w:ascii="Times New Roman" w:eastAsia="Times New Roman" w:hAnsi="Times New Roman" w:cs="Times New Roman"/>
          <w:sz w:val="24"/>
          <w:szCs w:val="24"/>
        </w:rPr>
        <w:t>modified document</w:t>
      </w:r>
      <w:r w:rsidRPr="00E2214C">
        <w:rPr>
          <w:rFonts w:ascii="Times New Roman" w:eastAsia="Times New Roman" w:hAnsi="Times New Roman" w:cs="Times New Roman"/>
          <w:sz w:val="24"/>
          <w:szCs w:val="24"/>
        </w:rPr>
        <w:t xml:space="preserve"> will be forwarded to the </w:t>
      </w:r>
      <w:proofErr w:type="spellStart"/>
      <w:r w:rsidRPr="00E2214C">
        <w:rPr>
          <w:rFonts w:ascii="Times New Roman" w:eastAsia="Times New Roman" w:hAnsi="Times New Roman" w:cs="Times New Roman"/>
          <w:sz w:val="24"/>
          <w:szCs w:val="24"/>
        </w:rPr>
        <w:t>C</w:t>
      </w:r>
      <w:r w:rsidR="00A3246D" w:rsidRPr="00E2214C">
        <w:rPr>
          <w:rFonts w:ascii="Times New Roman" w:eastAsia="Times New Roman" w:hAnsi="Times New Roman" w:cs="Times New Roman"/>
          <w:sz w:val="24"/>
          <w:szCs w:val="24"/>
        </w:rPr>
        <w:t>o</w:t>
      </w:r>
      <w:r w:rsidRPr="00E2214C">
        <w:rPr>
          <w:rFonts w:ascii="Times New Roman" w:eastAsia="Times New Roman" w:hAnsi="Times New Roman" w:cs="Times New Roman"/>
          <w:sz w:val="24"/>
          <w:szCs w:val="24"/>
        </w:rPr>
        <w:t>E</w:t>
      </w:r>
      <w:proofErr w:type="spellEnd"/>
      <w:r w:rsidRPr="00E2214C">
        <w:rPr>
          <w:rFonts w:ascii="Times New Roman" w:eastAsia="Times New Roman" w:hAnsi="Times New Roman" w:cs="Times New Roman"/>
          <w:sz w:val="24"/>
          <w:szCs w:val="24"/>
        </w:rPr>
        <w:t xml:space="preserve"> Dean, </w:t>
      </w:r>
      <w:proofErr w:type="spellStart"/>
      <w:r w:rsidRPr="00E2214C">
        <w:rPr>
          <w:rFonts w:ascii="Times New Roman" w:eastAsia="Times New Roman" w:hAnsi="Times New Roman" w:cs="Times New Roman"/>
          <w:sz w:val="24"/>
          <w:szCs w:val="24"/>
        </w:rPr>
        <w:t>C</w:t>
      </w:r>
      <w:r w:rsidR="00A3246D" w:rsidRPr="00E2214C">
        <w:rPr>
          <w:rFonts w:ascii="Times New Roman" w:eastAsia="Times New Roman" w:hAnsi="Times New Roman" w:cs="Times New Roman"/>
          <w:sz w:val="24"/>
          <w:szCs w:val="24"/>
        </w:rPr>
        <w:t>o</w:t>
      </w:r>
      <w:r w:rsidRPr="00E2214C">
        <w:rPr>
          <w:rFonts w:ascii="Times New Roman" w:eastAsia="Times New Roman" w:hAnsi="Times New Roman" w:cs="Times New Roman"/>
          <w:sz w:val="24"/>
          <w:szCs w:val="24"/>
        </w:rPr>
        <w:t>E</w:t>
      </w:r>
      <w:proofErr w:type="spellEnd"/>
      <w:r w:rsidRPr="00E2214C">
        <w:rPr>
          <w:rFonts w:ascii="Times New Roman" w:eastAsia="Times New Roman" w:hAnsi="Times New Roman" w:cs="Times New Roman"/>
          <w:sz w:val="24"/>
          <w:szCs w:val="24"/>
        </w:rPr>
        <w:t xml:space="preserve"> PTE Committee, and Provost for their approval. Upon approval, faculty </w:t>
      </w:r>
      <w:proofErr w:type="gramStart"/>
      <w:r w:rsidRPr="00E2214C">
        <w:rPr>
          <w:rFonts w:ascii="Times New Roman" w:eastAsia="Times New Roman" w:hAnsi="Times New Roman" w:cs="Times New Roman"/>
          <w:sz w:val="24"/>
          <w:szCs w:val="24"/>
        </w:rPr>
        <w:t>will be informed</w:t>
      </w:r>
      <w:proofErr w:type="gramEnd"/>
      <w:r w:rsidRPr="00E2214C">
        <w:rPr>
          <w:rFonts w:ascii="Times New Roman" w:eastAsia="Times New Roman" w:hAnsi="Times New Roman" w:cs="Times New Roman"/>
          <w:sz w:val="24"/>
          <w:szCs w:val="24"/>
        </w:rPr>
        <w:t xml:space="preserve"> of the changes to the criteria and procedures, and the revised document will be distributed to all Department faculty members.</w:t>
      </w:r>
    </w:p>
    <w:p w14:paraId="30D404BA" w14:textId="199F537A" w:rsidR="00795BD1" w:rsidRPr="00E2214C" w:rsidRDefault="00795BD1" w:rsidP="00795BD1">
      <w:pPr>
        <w:widowControl w:val="0"/>
        <w:autoSpaceDE w:val="0"/>
        <w:autoSpaceDN w:val="0"/>
        <w:adjustRightInd w:val="0"/>
        <w:spacing w:after="0" w:line="240" w:lineRule="auto"/>
        <w:ind w:firstLine="144"/>
        <w:rPr>
          <w:rFonts w:ascii="Times New Roman" w:eastAsia="Times New Roman" w:hAnsi="Times New Roman" w:cs="Times New Roman"/>
          <w:sz w:val="24"/>
          <w:szCs w:val="24"/>
        </w:rPr>
      </w:pPr>
      <w:r>
        <w:rPr>
          <w:noProof/>
        </w:rPr>
        <w:drawing>
          <wp:inline distT="0" distB="0" distL="0" distR="0" wp14:anchorId="462B2C27" wp14:editId="324C334E">
            <wp:extent cx="1321594"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61632" cy="392542"/>
                    </a:xfrm>
                    <a:prstGeom prst="rect">
                      <a:avLst/>
                    </a:prstGeom>
                  </pic:spPr>
                </pic:pic>
              </a:graphicData>
            </a:graphic>
          </wp:inline>
        </w:drawing>
      </w:r>
      <w:r w:rsidR="00D0615B">
        <w:rPr>
          <w:rFonts w:ascii="Times New Roman" w:eastAsia="Times New Roman" w:hAnsi="Times New Roman" w:cs="Times New Roman"/>
          <w:sz w:val="24"/>
          <w:szCs w:val="24"/>
        </w:rPr>
        <w:tab/>
      </w:r>
      <w:r w:rsidR="00D0615B">
        <w:rPr>
          <w:rFonts w:ascii="Times New Roman" w:eastAsia="Times New Roman" w:hAnsi="Times New Roman" w:cs="Times New Roman"/>
          <w:sz w:val="24"/>
          <w:szCs w:val="24"/>
        </w:rPr>
        <w:tab/>
      </w:r>
      <w:r w:rsidR="00D0615B">
        <w:rPr>
          <w:rFonts w:ascii="Times New Roman" w:eastAsia="Times New Roman" w:hAnsi="Times New Roman" w:cs="Times New Roman"/>
          <w:sz w:val="24"/>
          <w:szCs w:val="24"/>
        </w:rPr>
        <w:tab/>
      </w:r>
      <w:r w:rsidR="00D0615B">
        <w:rPr>
          <w:rFonts w:ascii="Times New Roman" w:eastAsia="Times New Roman" w:hAnsi="Times New Roman" w:cs="Times New Roman"/>
          <w:sz w:val="24"/>
          <w:szCs w:val="24"/>
        </w:rPr>
        <w:tab/>
      </w:r>
      <w:r w:rsidR="00D0615B">
        <w:rPr>
          <w:rFonts w:ascii="Times New Roman" w:eastAsia="Times New Roman" w:hAnsi="Times New Roman" w:cs="Times New Roman"/>
          <w:sz w:val="24"/>
          <w:szCs w:val="24"/>
        </w:rPr>
        <w:tab/>
      </w:r>
      <w:r w:rsidR="00D0615B">
        <w:rPr>
          <w:rFonts w:ascii="Times New Roman" w:eastAsia="Times New Roman" w:hAnsi="Times New Roman" w:cs="Times New Roman"/>
          <w:sz w:val="24"/>
          <w:szCs w:val="24"/>
        </w:rPr>
        <w:tab/>
      </w:r>
      <w:r w:rsidR="00D0615B">
        <w:rPr>
          <w:rFonts w:ascii="Times New Roman" w:eastAsia="Times New Roman" w:hAnsi="Times New Roman" w:cs="Times New Roman"/>
          <w:sz w:val="24"/>
          <w:szCs w:val="24"/>
        </w:rPr>
        <w:tab/>
      </w:r>
      <w:r w:rsidR="00D0615B">
        <w:rPr>
          <w:noProof/>
        </w:rPr>
        <w:drawing>
          <wp:inline distT="0" distB="0" distL="0" distR="0" wp14:anchorId="10522233" wp14:editId="39F6BED1">
            <wp:extent cx="71437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4375" cy="209550"/>
                    </a:xfrm>
                    <a:prstGeom prst="rect">
                      <a:avLst/>
                    </a:prstGeom>
                  </pic:spPr>
                </pic:pic>
              </a:graphicData>
            </a:graphic>
          </wp:inline>
        </w:drawing>
      </w:r>
    </w:p>
    <w:p w14:paraId="02E84CDD" w14:textId="3CB9FB44" w:rsidR="00A51230" w:rsidRPr="00E2214C" w:rsidRDefault="00A51230" w:rsidP="008A2835">
      <w:pPr>
        <w:spacing w:after="0" w:line="204" w:lineRule="auto"/>
        <w:rPr>
          <w:rFonts w:ascii="Times New Roman" w:hAnsi="Times New Roman" w:cs="Times New Roman"/>
          <w:sz w:val="24"/>
          <w:szCs w:val="24"/>
        </w:rPr>
      </w:pPr>
      <w:r w:rsidRPr="00E2214C">
        <w:rPr>
          <w:rFonts w:ascii="Times New Roman" w:hAnsi="Times New Roman" w:cs="Times New Roman"/>
          <w:sz w:val="24"/>
          <w:szCs w:val="24"/>
        </w:rPr>
        <w:t>_______________________________</w:t>
      </w:r>
      <w:r w:rsidRPr="00E2214C">
        <w:rPr>
          <w:rFonts w:ascii="Times New Roman" w:hAnsi="Times New Roman" w:cs="Times New Roman"/>
          <w:sz w:val="24"/>
          <w:szCs w:val="24"/>
        </w:rPr>
        <w:softHyphen/>
      </w:r>
      <w:r w:rsidRPr="00E2214C">
        <w:rPr>
          <w:rFonts w:ascii="Times New Roman" w:hAnsi="Times New Roman" w:cs="Times New Roman"/>
          <w:sz w:val="24"/>
          <w:szCs w:val="24"/>
        </w:rPr>
        <w:softHyphen/>
        <w:t>___________</w:t>
      </w:r>
      <w:r w:rsidR="00D93808" w:rsidRPr="00E2214C">
        <w:rPr>
          <w:rFonts w:ascii="Times New Roman" w:hAnsi="Times New Roman" w:cs="Times New Roman"/>
          <w:sz w:val="24"/>
          <w:szCs w:val="24"/>
        </w:rPr>
        <w:t>__</w:t>
      </w:r>
      <w:r w:rsidRPr="00E2214C">
        <w:rPr>
          <w:rFonts w:ascii="Times New Roman" w:hAnsi="Times New Roman" w:cs="Times New Roman"/>
          <w:sz w:val="24"/>
          <w:szCs w:val="24"/>
        </w:rPr>
        <w:t xml:space="preserve">   </w:t>
      </w:r>
      <w:r w:rsidR="00E07ED1" w:rsidRPr="00E2214C">
        <w:rPr>
          <w:rFonts w:ascii="Times New Roman" w:hAnsi="Times New Roman" w:cs="Times New Roman"/>
          <w:sz w:val="24"/>
          <w:szCs w:val="24"/>
        </w:rPr>
        <w:tab/>
      </w:r>
      <w:r w:rsidR="008A2835">
        <w:rPr>
          <w:rFonts w:ascii="Times New Roman" w:hAnsi="Times New Roman" w:cs="Times New Roman"/>
          <w:sz w:val="24"/>
          <w:szCs w:val="24"/>
        </w:rPr>
        <w:t xml:space="preserve">            </w:t>
      </w:r>
      <w:r w:rsidRPr="00E2214C">
        <w:rPr>
          <w:rFonts w:ascii="Times New Roman" w:hAnsi="Times New Roman" w:cs="Times New Roman"/>
          <w:sz w:val="24"/>
          <w:szCs w:val="24"/>
        </w:rPr>
        <w:t xml:space="preserve"> ___________________</w:t>
      </w:r>
    </w:p>
    <w:p w14:paraId="7C3A8634" w14:textId="5D858715" w:rsidR="00D4088E" w:rsidRDefault="00A51230" w:rsidP="00795BD1">
      <w:pPr>
        <w:spacing w:after="0" w:line="240" w:lineRule="auto"/>
        <w:ind w:firstLine="144"/>
        <w:rPr>
          <w:rFonts w:ascii="Times New Roman" w:hAnsi="Times New Roman" w:cs="Times New Roman"/>
          <w:sz w:val="24"/>
          <w:szCs w:val="24"/>
        </w:rPr>
      </w:pPr>
      <w:r w:rsidRPr="00E2214C">
        <w:rPr>
          <w:rFonts w:ascii="Times New Roman" w:hAnsi="Times New Roman" w:cs="Times New Roman"/>
          <w:sz w:val="24"/>
          <w:szCs w:val="24"/>
        </w:rPr>
        <w:t xml:space="preserve">Chair, </w:t>
      </w:r>
      <w:r w:rsidR="00D93808" w:rsidRPr="00E2214C">
        <w:rPr>
          <w:rFonts w:ascii="Times New Roman" w:hAnsi="Times New Roman" w:cs="Times New Roman"/>
          <w:sz w:val="24"/>
          <w:szCs w:val="24"/>
        </w:rPr>
        <w:t>Construction Management &amp; Engineering</w:t>
      </w:r>
      <w:r w:rsidR="00D93808" w:rsidRPr="00E2214C" w:rsidDel="00D93808">
        <w:rPr>
          <w:rFonts w:ascii="Times New Roman" w:hAnsi="Times New Roman" w:cs="Times New Roman"/>
          <w:sz w:val="24"/>
          <w:szCs w:val="24"/>
        </w:rPr>
        <w:t xml:space="preserve"> </w:t>
      </w:r>
      <w:r w:rsidRPr="00E2214C">
        <w:rPr>
          <w:rFonts w:ascii="Times New Roman" w:hAnsi="Times New Roman" w:cs="Times New Roman"/>
          <w:sz w:val="24"/>
          <w:szCs w:val="24"/>
        </w:rPr>
        <w:t>PTE Committee</w:t>
      </w:r>
      <w:r w:rsidRPr="00E2214C">
        <w:rPr>
          <w:rFonts w:ascii="Times New Roman" w:hAnsi="Times New Roman" w:cs="Times New Roman"/>
          <w:sz w:val="24"/>
          <w:szCs w:val="24"/>
        </w:rPr>
        <w:tab/>
      </w:r>
      <w:r w:rsidR="00D93808" w:rsidRPr="00E2214C">
        <w:rPr>
          <w:rFonts w:ascii="Times New Roman" w:hAnsi="Times New Roman" w:cs="Times New Roman"/>
          <w:sz w:val="24"/>
          <w:szCs w:val="24"/>
        </w:rPr>
        <w:tab/>
      </w:r>
      <w:r w:rsidRPr="00E2214C">
        <w:rPr>
          <w:rFonts w:ascii="Times New Roman" w:hAnsi="Times New Roman" w:cs="Times New Roman"/>
          <w:sz w:val="24"/>
          <w:szCs w:val="24"/>
        </w:rPr>
        <w:t>Date</w:t>
      </w:r>
    </w:p>
    <w:p w14:paraId="669C2B96" w14:textId="77777777" w:rsidR="00795BD1" w:rsidRPr="00E2214C" w:rsidRDefault="00795BD1" w:rsidP="00795BD1">
      <w:pPr>
        <w:spacing w:after="0" w:line="240" w:lineRule="auto"/>
        <w:ind w:firstLine="144"/>
        <w:rPr>
          <w:rFonts w:ascii="Times New Roman" w:hAnsi="Times New Roman" w:cs="Times New Roman"/>
          <w:sz w:val="24"/>
          <w:szCs w:val="24"/>
        </w:rPr>
      </w:pPr>
    </w:p>
    <w:p w14:paraId="6CBCEE80" w14:textId="322984D8" w:rsidR="00795BD1" w:rsidRPr="008A2835" w:rsidRDefault="003B2C3C" w:rsidP="00795BD1">
      <w:pPr>
        <w:spacing w:after="0" w:line="240" w:lineRule="auto"/>
        <w:rPr>
          <w:rFonts w:ascii="Times New Roman" w:hAnsi="Times New Roman" w:cs="Times New Roman"/>
          <w:sz w:val="24"/>
          <w:szCs w:val="24"/>
          <w:u w:val="single"/>
        </w:rPr>
      </w:pPr>
      <w:r w:rsidRPr="00E2214C">
        <w:rPr>
          <w:rFonts w:ascii="Times New Roman" w:hAnsi="Times New Roman" w:cs="Times New Roman"/>
          <w:sz w:val="24"/>
          <w:szCs w:val="24"/>
        </w:rPr>
        <w:t>______________________________________</w:t>
      </w:r>
      <w:r w:rsidR="00A51230" w:rsidRPr="00E2214C">
        <w:rPr>
          <w:rFonts w:ascii="Times New Roman" w:hAnsi="Times New Roman" w:cs="Times New Roman"/>
          <w:sz w:val="24"/>
          <w:szCs w:val="24"/>
        </w:rPr>
        <w:t>___________</w:t>
      </w:r>
      <w:r w:rsidR="00D93808" w:rsidRPr="00E2214C">
        <w:rPr>
          <w:rFonts w:ascii="Times New Roman" w:hAnsi="Times New Roman" w:cs="Times New Roman"/>
          <w:sz w:val="24"/>
          <w:szCs w:val="24"/>
        </w:rPr>
        <w:t>__</w:t>
      </w:r>
      <w:r w:rsidRPr="00E2214C">
        <w:rPr>
          <w:rFonts w:ascii="Times New Roman" w:hAnsi="Times New Roman" w:cs="Times New Roman"/>
          <w:sz w:val="24"/>
          <w:szCs w:val="24"/>
        </w:rPr>
        <w:t xml:space="preserve">   </w:t>
      </w:r>
      <w:r w:rsidR="008A2835">
        <w:rPr>
          <w:rFonts w:ascii="Times New Roman" w:hAnsi="Times New Roman" w:cs="Times New Roman"/>
          <w:sz w:val="24"/>
          <w:szCs w:val="24"/>
        </w:rPr>
        <w:tab/>
      </w:r>
      <w:r w:rsidR="008A2835" w:rsidRPr="00E2214C">
        <w:rPr>
          <w:rFonts w:ascii="Times New Roman" w:hAnsi="Times New Roman" w:cs="Times New Roman"/>
          <w:sz w:val="24"/>
          <w:szCs w:val="24"/>
        </w:rPr>
        <w:t>___________________</w:t>
      </w:r>
    </w:p>
    <w:p w14:paraId="3F53D547" w14:textId="1FD85128" w:rsidR="003B2C3C" w:rsidRDefault="003B2C3C" w:rsidP="00795BD1">
      <w:pPr>
        <w:spacing w:after="0" w:line="240" w:lineRule="auto"/>
        <w:rPr>
          <w:rFonts w:ascii="Times New Roman" w:hAnsi="Times New Roman" w:cs="Times New Roman"/>
          <w:sz w:val="24"/>
          <w:szCs w:val="24"/>
        </w:rPr>
      </w:pPr>
      <w:r w:rsidRPr="00E2214C">
        <w:rPr>
          <w:rFonts w:ascii="Times New Roman" w:hAnsi="Times New Roman" w:cs="Times New Roman"/>
          <w:sz w:val="24"/>
          <w:szCs w:val="24"/>
        </w:rPr>
        <w:t xml:space="preserve">Chair, </w:t>
      </w:r>
      <w:r w:rsidR="00A51230" w:rsidRPr="00E2214C">
        <w:rPr>
          <w:rFonts w:ascii="Times New Roman" w:hAnsi="Times New Roman" w:cs="Times New Roman"/>
          <w:sz w:val="24"/>
          <w:szCs w:val="24"/>
        </w:rPr>
        <w:t>Construction Management &amp; Engineering</w:t>
      </w:r>
      <w:r w:rsidRPr="00E2214C">
        <w:rPr>
          <w:rFonts w:ascii="Times New Roman" w:hAnsi="Times New Roman" w:cs="Times New Roman"/>
          <w:sz w:val="24"/>
          <w:szCs w:val="24"/>
        </w:rPr>
        <w:tab/>
      </w:r>
      <w:r w:rsidR="00224AD2" w:rsidRPr="00E2214C">
        <w:rPr>
          <w:rFonts w:ascii="Times New Roman" w:hAnsi="Times New Roman" w:cs="Times New Roman"/>
          <w:sz w:val="24"/>
          <w:szCs w:val="24"/>
        </w:rPr>
        <w:tab/>
      </w:r>
      <w:r w:rsidR="00224AD2" w:rsidRPr="00E2214C">
        <w:rPr>
          <w:rFonts w:ascii="Times New Roman" w:hAnsi="Times New Roman" w:cs="Times New Roman"/>
          <w:sz w:val="24"/>
          <w:szCs w:val="24"/>
        </w:rPr>
        <w:tab/>
      </w:r>
      <w:r w:rsidR="00D93808" w:rsidRPr="00E2214C">
        <w:rPr>
          <w:rFonts w:ascii="Times New Roman" w:hAnsi="Times New Roman" w:cs="Times New Roman"/>
          <w:sz w:val="24"/>
          <w:szCs w:val="24"/>
        </w:rPr>
        <w:tab/>
      </w:r>
      <w:r w:rsidRPr="00E2214C">
        <w:rPr>
          <w:rFonts w:ascii="Times New Roman" w:hAnsi="Times New Roman" w:cs="Times New Roman"/>
          <w:sz w:val="24"/>
          <w:szCs w:val="24"/>
        </w:rPr>
        <w:t>Date</w:t>
      </w:r>
    </w:p>
    <w:p w14:paraId="48AE224E" w14:textId="77777777" w:rsidR="00795BD1" w:rsidRPr="00E2214C" w:rsidRDefault="00795BD1" w:rsidP="00795BD1">
      <w:pPr>
        <w:spacing w:after="0" w:line="240" w:lineRule="auto"/>
        <w:rPr>
          <w:rFonts w:ascii="Times New Roman" w:hAnsi="Times New Roman" w:cs="Times New Roman"/>
          <w:sz w:val="24"/>
          <w:szCs w:val="24"/>
        </w:rPr>
      </w:pPr>
    </w:p>
    <w:p w14:paraId="4E8D5318" w14:textId="77777777" w:rsidR="00EA27DA" w:rsidRPr="00E2214C" w:rsidRDefault="00EA27DA" w:rsidP="00795BD1">
      <w:pPr>
        <w:spacing w:after="0" w:line="240" w:lineRule="auto"/>
        <w:rPr>
          <w:rFonts w:ascii="Times New Roman" w:hAnsi="Times New Roman" w:cs="Times New Roman"/>
          <w:sz w:val="24"/>
          <w:szCs w:val="24"/>
        </w:rPr>
      </w:pPr>
      <w:r w:rsidRPr="00E2214C">
        <w:rPr>
          <w:rFonts w:ascii="Times New Roman" w:hAnsi="Times New Roman" w:cs="Times New Roman"/>
          <w:sz w:val="24"/>
          <w:szCs w:val="24"/>
        </w:rPr>
        <w:t>________________________________________</w:t>
      </w:r>
      <w:r w:rsidRPr="00E2214C">
        <w:rPr>
          <w:rFonts w:ascii="Times New Roman" w:hAnsi="Times New Roman" w:cs="Times New Roman"/>
          <w:sz w:val="24"/>
          <w:szCs w:val="24"/>
        </w:rPr>
        <w:softHyphen/>
      </w:r>
      <w:r w:rsidRPr="00E2214C">
        <w:rPr>
          <w:rFonts w:ascii="Times New Roman" w:hAnsi="Times New Roman" w:cs="Times New Roman"/>
          <w:sz w:val="24"/>
          <w:szCs w:val="24"/>
        </w:rPr>
        <w:softHyphen/>
        <w:t>_____________    ___________________</w:t>
      </w:r>
    </w:p>
    <w:p w14:paraId="296BAB25" w14:textId="671507FE" w:rsidR="000A2899" w:rsidRDefault="00EA27DA" w:rsidP="00795BD1">
      <w:pPr>
        <w:spacing w:after="0" w:line="240" w:lineRule="auto"/>
        <w:rPr>
          <w:rFonts w:ascii="Times New Roman" w:hAnsi="Times New Roman" w:cs="Times New Roman"/>
          <w:sz w:val="24"/>
          <w:szCs w:val="24"/>
        </w:rPr>
      </w:pPr>
      <w:r w:rsidRPr="00E2214C">
        <w:rPr>
          <w:rFonts w:ascii="Times New Roman" w:hAnsi="Times New Roman" w:cs="Times New Roman"/>
          <w:sz w:val="24"/>
          <w:szCs w:val="24"/>
        </w:rPr>
        <w:t>Chair, C</w:t>
      </w:r>
      <w:r w:rsidR="001F2846" w:rsidRPr="00E2214C">
        <w:rPr>
          <w:rFonts w:ascii="Times New Roman" w:hAnsi="Times New Roman" w:cs="Times New Roman"/>
          <w:sz w:val="24"/>
          <w:szCs w:val="24"/>
        </w:rPr>
        <w:t>ollege of En</w:t>
      </w:r>
      <w:r w:rsidRPr="00E2214C">
        <w:rPr>
          <w:rFonts w:ascii="Times New Roman" w:hAnsi="Times New Roman" w:cs="Times New Roman"/>
          <w:sz w:val="24"/>
          <w:szCs w:val="24"/>
        </w:rPr>
        <w:t>gineering</w:t>
      </w:r>
      <w:r w:rsidRPr="00E2214C" w:rsidDel="00D93808">
        <w:rPr>
          <w:rFonts w:ascii="Times New Roman" w:hAnsi="Times New Roman" w:cs="Times New Roman"/>
          <w:sz w:val="24"/>
          <w:szCs w:val="24"/>
        </w:rPr>
        <w:t xml:space="preserve"> </w:t>
      </w:r>
      <w:r w:rsidRPr="00E2214C">
        <w:rPr>
          <w:rFonts w:ascii="Times New Roman" w:hAnsi="Times New Roman" w:cs="Times New Roman"/>
          <w:sz w:val="24"/>
          <w:szCs w:val="24"/>
        </w:rPr>
        <w:t>PTE Committee</w:t>
      </w:r>
      <w:r w:rsidRPr="00E2214C">
        <w:rPr>
          <w:rFonts w:ascii="Times New Roman" w:hAnsi="Times New Roman" w:cs="Times New Roman"/>
          <w:sz w:val="24"/>
          <w:szCs w:val="24"/>
        </w:rPr>
        <w:tab/>
      </w:r>
      <w:r w:rsidRPr="00E2214C">
        <w:rPr>
          <w:rFonts w:ascii="Times New Roman" w:hAnsi="Times New Roman" w:cs="Times New Roman"/>
          <w:sz w:val="24"/>
          <w:szCs w:val="24"/>
        </w:rPr>
        <w:tab/>
      </w:r>
      <w:r w:rsidR="001F2846" w:rsidRPr="00E2214C">
        <w:rPr>
          <w:rFonts w:ascii="Times New Roman" w:hAnsi="Times New Roman" w:cs="Times New Roman"/>
          <w:sz w:val="24"/>
          <w:szCs w:val="24"/>
        </w:rPr>
        <w:tab/>
      </w:r>
      <w:r w:rsidR="001F2846" w:rsidRPr="00E2214C">
        <w:rPr>
          <w:rFonts w:ascii="Times New Roman" w:hAnsi="Times New Roman" w:cs="Times New Roman"/>
          <w:sz w:val="24"/>
          <w:szCs w:val="24"/>
        </w:rPr>
        <w:tab/>
      </w:r>
      <w:r w:rsidRPr="00E2214C">
        <w:rPr>
          <w:rFonts w:ascii="Times New Roman" w:hAnsi="Times New Roman" w:cs="Times New Roman"/>
          <w:sz w:val="24"/>
          <w:szCs w:val="24"/>
        </w:rPr>
        <w:t>Date</w:t>
      </w:r>
    </w:p>
    <w:p w14:paraId="2CE0830D" w14:textId="77777777" w:rsidR="00795BD1" w:rsidRPr="00E2214C" w:rsidRDefault="00795BD1" w:rsidP="00795BD1">
      <w:pPr>
        <w:spacing w:after="0" w:line="240" w:lineRule="auto"/>
        <w:rPr>
          <w:rFonts w:ascii="Times New Roman" w:hAnsi="Times New Roman" w:cs="Times New Roman"/>
          <w:sz w:val="24"/>
          <w:szCs w:val="24"/>
        </w:rPr>
      </w:pPr>
    </w:p>
    <w:p w14:paraId="63C448FE" w14:textId="4454C99B" w:rsidR="003B2C3C" w:rsidRPr="00E2214C" w:rsidRDefault="003B2C3C" w:rsidP="00795BD1">
      <w:pPr>
        <w:spacing w:after="0" w:line="240" w:lineRule="auto"/>
        <w:rPr>
          <w:rFonts w:ascii="Times New Roman" w:hAnsi="Times New Roman" w:cs="Times New Roman"/>
          <w:sz w:val="24"/>
          <w:szCs w:val="24"/>
        </w:rPr>
      </w:pPr>
      <w:r w:rsidRPr="00E2214C">
        <w:rPr>
          <w:rFonts w:ascii="Times New Roman" w:hAnsi="Times New Roman" w:cs="Times New Roman"/>
          <w:sz w:val="24"/>
          <w:szCs w:val="24"/>
        </w:rPr>
        <w:t>________________________________________</w:t>
      </w:r>
      <w:r w:rsidR="00A51230" w:rsidRPr="00E2214C">
        <w:rPr>
          <w:rFonts w:ascii="Times New Roman" w:hAnsi="Times New Roman" w:cs="Times New Roman"/>
          <w:sz w:val="24"/>
          <w:szCs w:val="24"/>
        </w:rPr>
        <w:t>___________</w:t>
      </w:r>
      <w:r w:rsidR="00D93808" w:rsidRPr="00E2214C">
        <w:rPr>
          <w:rFonts w:ascii="Times New Roman" w:hAnsi="Times New Roman" w:cs="Times New Roman"/>
          <w:sz w:val="24"/>
          <w:szCs w:val="24"/>
        </w:rPr>
        <w:t>__</w:t>
      </w:r>
      <w:r w:rsidRPr="00E2214C">
        <w:rPr>
          <w:rFonts w:ascii="Times New Roman" w:hAnsi="Times New Roman" w:cs="Times New Roman"/>
          <w:sz w:val="24"/>
          <w:szCs w:val="24"/>
        </w:rPr>
        <w:t xml:space="preserve">    ___________</w:t>
      </w:r>
      <w:r w:rsidR="00A51230" w:rsidRPr="00E2214C">
        <w:rPr>
          <w:rFonts w:ascii="Times New Roman" w:hAnsi="Times New Roman" w:cs="Times New Roman"/>
          <w:sz w:val="24"/>
          <w:szCs w:val="24"/>
        </w:rPr>
        <w:t>_________</w:t>
      </w:r>
    </w:p>
    <w:p w14:paraId="70A374AC" w14:textId="087DF559" w:rsidR="000A2899" w:rsidRDefault="003B2C3C" w:rsidP="00795BD1">
      <w:pPr>
        <w:spacing w:after="0" w:line="240" w:lineRule="auto"/>
        <w:rPr>
          <w:rFonts w:ascii="Times New Roman" w:hAnsi="Times New Roman" w:cs="Times New Roman"/>
          <w:sz w:val="24"/>
          <w:szCs w:val="24"/>
        </w:rPr>
      </w:pPr>
      <w:r w:rsidRPr="00E2214C">
        <w:rPr>
          <w:rFonts w:ascii="Times New Roman" w:hAnsi="Times New Roman" w:cs="Times New Roman"/>
          <w:sz w:val="24"/>
          <w:szCs w:val="24"/>
        </w:rPr>
        <w:t>Dean, College of Engineering</w:t>
      </w:r>
      <w:r w:rsidR="00524456" w:rsidRPr="00E2214C">
        <w:rPr>
          <w:rFonts w:ascii="Times New Roman" w:hAnsi="Times New Roman" w:cs="Times New Roman"/>
          <w:sz w:val="24"/>
          <w:szCs w:val="24"/>
        </w:rPr>
        <w:tab/>
      </w:r>
      <w:r w:rsidR="00524456" w:rsidRPr="00E2214C">
        <w:rPr>
          <w:rFonts w:ascii="Times New Roman" w:hAnsi="Times New Roman" w:cs="Times New Roman"/>
          <w:sz w:val="24"/>
          <w:szCs w:val="24"/>
        </w:rPr>
        <w:tab/>
      </w:r>
      <w:r w:rsidR="00524456" w:rsidRPr="00E2214C">
        <w:rPr>
          <w:rFonts w:ascii="Times New Roman" w:hAnsi="Times New Roman" w:cs="Times New Roman"/>
          <w:sz w:val="24"/>
          <w:szCs w:val="24"/>
        </w:rPr>
        <w:tab/>
      </w:r>
      <w:r w:rsidRPr="00E2214C">
        <w:rPr>
          <w:rFonts w:ascii="Times New Roman" w:hAnsi="Times New Roman" w:cs="Times New Roman"/>
          <w:sz w:val="24"/>
          <w:szCs w:val="24"/>
        </w:rPr>
        <w:tab/>
        <w:t xml:space="preserve"> </w:t>
      </w:r>
      <w:r w:rsidR="00A51230" w:rsidRPr="00E2214C">
        <w:rPr>
          <w:rFonts w:ascii="Times New Roman" w:hAnsi="Times New Roman" w:cs="Times New Roman"/>
          <w:sz w:val="24"/>
          <w:szCs w:val="24"/>
        </w:rPr>
        <w:tab/>
      </w:r>
      <w:r w:rsidR="00A51230" w:rsidRPr="00E2214C">
        <w:rPr>
          <w:rFonts w:ascii="Times New Roman" w:hAnsi="Times New Roman" w:cs="Times New Roman"/>
          <w:sz w:val="24"/>
          <w:szCs w:val="24"/>
        </w:rPr>
        <w:tab/>
      </w:r>
      <w:r w:rsidR="00D93808" w:rsidRPr="00E2214C">
        <w:rPr>
          <w:rFonts w:ascii="Times New Roman" w:hAnsi="Times New Roman" w:cs="Times New Roman"/>
          <w:sz w:val="24"/>
          <w:szCs w:val="24"/>
        </w:rPr>
        <w:tab/>
      </w:r>
      <w:r w:rsidRPr="00E2214C">
        <w:rPr>
          <w:rFonts w:ascii="Times New Roman" w:hAnsi="Times New Roman" w:cs="Times New Roman"/>
          <w:sz w:val="24"/>
          <w:szCs w:val="24"/>
        </w:rPr>
        <w:t>Date</w:t>
      </w:r>
    </w:p>
    <w:p w14:paraId="633A076F" w14:textId="77777777" w:rsidR="00795BD1" w:rsidRPr="00E2214C" w:rsidRDefault="00795BD1" w:rsidP="00795BD1">
      <w:pPr>
        <w:spacing w:after="0" w:line="240" w:lineRule="auto"/>
        <w:rPr>
          <w:rFonts w:ascii="Times New Roman" w:hAnsi="Times New Roman" w:cs="Times New Roman"/>
          <w:sz w:val="24"/>
          <w:szCs w:val="24"/>
        </w:rPr>
      </w:pPr>
    </w:p>
    <w:p w14:paraId="64B55318" w14:textId="0911BDC3" w:rsidR="001F0F52" w:rsidRPr="00E2214C" w:rsidRDefault="001F0F52" w:rsidP="00795BD1">
      <w:pPr>
        <w:spacing w:after="0" w:line="240" w:lineRule="auto"/>
        <w:rPr>
          <w:rFonts w:ascii="Times New Roman" w:hAnsi="Times New Roman" w:cs="Times New Roman"/>
          <w:sz w:val="24"/>
          <w:szCs w:val="24"/>
        </w:rPr>
      </w:pPr>
      <w:r w:rsidRPr="00E2214C">
        <w:rPr>
          <w:rFonts w:ascii="Times New Roman" w:hAnsi="Times New Roman" w:cs="Times New Roman"/>
          <w:sz w:val="24"/>
          <w:szCs w:val="24"/>
        </w:rPr>
        <w:t>________________________________________</w:t>
      </w:r>
      <w:r w:rsidR="00A51230" w:rsidRPr="00E2214C">
        <w:rPr>
          <w:rFonts w:ascii="Times New Roman" w:hAnsi="Times New Roman" w:cs="Times New Roman"/>
          <w:sz w:val="24"/>
          <w:szCs w:val="24"/>
        </w:rPr>
        <w:t>___________</w:t>
      </w:r>
      <w:r w:rsidR="00D93808" w:rsidRPr="00E2214C">
        <w:rPr>
          <w:rFonts w:ascii="Times New Roman" w:hAnsi="Times New Roman" w:cs="Times New Roman"/>
          <w:sz w:val="24"/>
          <w:szCs w:val="24"/>
        </w:rPr>
        <w:t>__</w:t>
      </w:r>
      <w:r w:rsidR="00A51230" w:rsidRPr="00E2214C">
        <w:rPr>
          <w:rFonts w:ascii="Times New Roman" w:hAnsi="Times New Roman" w:cs="Times New Roman"/>
          <w:sz w:val="24"/>
          <w:szCs w:val="24"/>
        </w:rPr>
        <w:t xml:space="preserve">    </w:t>
      </w:r>
      <w:r w:rsidRPr="00E2214C">
        <w:rPr>
          <w:rFonts w:ascii="Times New Roman" w:hAnsi="Times New Roman" w:cs="Times New Roman"/>
          <w:sz w:val="24"/>
          <w:szCs w:val="24"/>
        </w:rPr>
        <w:t>__________</w:t>
      </w:r>
      <w:r w:rsidR="00A51230" w:rsidRPr="00E2214C">
        <w:rPr>
          <w:rFonts w:ascii="Times New Roman" w:hAnsi="Times New Roman" w:cs="Times New Roman"/>
          <w:sz w:val="24"/>
          <w:szCs w:val="24"/>
        </w:rPr>
        <w:t>__________</w:t>
      </w:r>
    </w:p>
    <w:p w14:paraId="1B4199EF" w14:textId="769639F6" w:rsidR="001F0F52" w:rsidRPr="00E2214C" w:rsidRDefault="001F0F52" w:rsidP="00795BD1">
      <w:pPr>
        <w:spacing w:after="0" w:line="240" w:lineRule="auto"/>
        <w:rPr>
          <w:rFonts w:ascii="Times New Roman" w:hAnsi="Times New Roman" w:cs="Times New Roman"/>
          <w:sz w:val="24"/>
          <w:szCs w:val="24"/>
        </w:rPr>
      </w:pPr>
      <w:r w:rsidRPr="00E2214C">
        <w:rPr>
          <w:rFonts w:ascii="Times New Roman" w:hAnsi="Times New Roman" w:cs="Times New Roman"/>
          <w:sz w:val="24"/>
          <w:szCs w:val="24"/>
        </w:rPr>
        <w:t xml:space="preserve">Provost </w:t>
      </w:r>
      <w:r w:rsidR="00F269C4" w:rsidRPr="00E2214C">
        <w:rPr>
          <w:rFonts w:ascii="Times New Roman" w:hAnsi="Times New Roman" w:cs="Times New Roman"/>
          <w:sz w:val="24"/>
          <w:szCs w:val="24"/>
        </w:rPr>
        <w:tab/>
      </w:r>
      <w:r w:rsidR="00F269C4" w:rsidRPr="00E2214C">
        <w:rPr>
          <w:rFonts w:ascii="Times New Roman" w:hAnsi="Times New Roman" w:cs="Times New Roman"/>
          <w:sz w:val="24"/>
          <w:szCs w:val="24"/>
        </w:rPr>
        <w:tab/>
      </w:r>
      <w:r w:rsidR="00F269C4" w:rsidRPr="00E2214C">
        <w:rPr>
          <w:rFonts w:ascii="Times New Roman" w:hAnsi="Times New Roman" w:cs="Times New Roman"/>
          <w:sz w:val="24"/>
          <w:szCs w:val="24"/>
        </w:rPr>
        <w:tab/>
      </w:r>
      <w:r w:rsidR="00F269C4" w:rsidRPr="00E2214C">
        <w:rPr>
          <w:rFonts w:ascii="Times New Roman" w:hAnsi="Times New Roman" w:cs="Times New Roman"/>
          <w:sz w:val="24"/>
          <w:szCs w:val="24"/>
        </w:rPr>
        <w:tab/>
      </w:r>
      <w:r w:rsidR="00F269C4" w:rsidRPr="00E2214C">
        <w:rPr>
          <w:rFonts w:ascii="Times New Roman" w:hAnsi="Times New Roman" w:cs="Times New Roman"/>
          <w:sz w:val="24"/>
          <w:szCs w:val="24"/>
        </w:rPr>
        <w:tab/>
      </w:r>
      <w:r w:rsidRPr="00E2214C">
        <w:rPr>
          <w:rFonts w:ascii="Times New Roman" w:hAnsi="Times New Roman" w:cs="Times New Roman"/>
          <w:sz w:val="24"/>
          <w:szCs w:val="24"/>
        </w:rPr>
        <w:tab/>
      </w:r>
      <w:r w:rsidR="00A51230" w:rsidRPr="00E2214C">
        <w:rPr>
          <w:rFonts w:ascii="Times New Roman" w:hAnsi="Times New Roman" w:cs="Times New Roman"/>
          <w:sz w:val="24"/>
          <w:szCs w:val="24"/>
        </w:rPr>
        <w:tab/>
      </w:r>
      <w:r w:rsidR="00A51230" w:rsidRPr="00E2214C">
        <w:rPr>
          <w:rFonts w:ascii="Times New Roman" w:hAnsi="Times New Roman" w:cs="Times New Roman"/>
          <w:sz w:val="24"/>
          <w:szCs w:val="24"/>
        </w:rPr>
        <w:tab/>
      </w:r>
      <w:r w:rsidR="00D93808" w:rsidRPr="00E2214C">
        <w:rPr>
          <w:rFonts w:ascii="Times New Roman" w:hAnsi="Times New Roman" w:cs="Times New Roman"/>
          <w:sz w:val="24"/>
          <w:szCs w:val="24"/>
        </w:rPr>
        <w:tab/>
      </w:r>
      <w:r w:rsidRPr="00E2214C">
        <w:rPr>
          <w:rFonts w:ascii="Times New Roman" w:hAnsi="Times New Roman" w:cs="Times New Roman"/>
          <w:sz w:val="24"/>
          <w:szCs w:val="24"/>
        </w:rPr>
        <w:t>Date</w:t>
      </w:r>
      <w:r w:rsidR="00D4088E" w:rsidRPr="00E2214C">
        <w:rPr>
          <w:rFonts w:ascii="Times New Roman" w:hAnsi="Times New Roman" w:cs="Times New Roman"/>
          <w:sz w:val="24"/>
          <w:szCs w:val="24"/>
        </w:rPr>
        <w:tab/>
      </w:r>
      <w:r w:rsidR="00D4088E" w:rsidRPr="00E2214C">
        <w:rPr>
          <w:rFonts w:ascii="Times New Roman" w:hAnsi="Times New Roman" w:cs="Times New Roman"/>
          <w:sz w:val="24"/>
          <w:szCs w:val="24"/>
        </w:rPr>
        <w:tab/>
      </w:r>
    </w:p>
    <w:sectPr w:rsidR="001F0F52" w:rsidRPr="00E2214C" w:rsidSect="000309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B297" w14:textId="77777777" w:rsidR="00250B8A" w:rsidRDefault="00250B8A" w:rsidP="00B62A64">
      <w:pPr>
        <w:spacing w:after="0" w:line="240" w:lineRule="auto"/>
      </w:pPr>
      <w:r>
        <w:separator/>
      </w:r>
    </w:p>
  </w:endnote>
  <w:endnote w:type="continuationSeparator" w:id="0">
    <w:p w14:paraId="442A4B06" w14:textId="77777777" w:rsidR="00250B8A" w:rsidRDefault="00250B8A" w:rsidP="00B6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F861" w14:textId="77777777" w:rsidR="00E6236B" w:rsidRDefault="00E62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365440"/>
      <w:docPartObj>
        <w:docPartGallery w:val="Page Numbers (Bottom of Page)"/>
        <w:docPartUnique/>
      </w:docPartObj>
    </w:sdtPr>
    <w:sdtEndPr/>
    <w:sdtContent>
      <w:sdt>
        <w:sdtPr>
          <w:id w:val="-1769616900"/>
          <w:docPartObj>
            <w:docPartGallery w:val="Page Numbers (Top of Page)"/>
            <w:docPartUnique/>
          </w:docPartObj>
        </w:sdtPr>
        <w:sdtEndPr/>
        <w:sdtContent>
          <w:p w14:paraId="1EEE3599" w14:textId="54AD34B6" w:rsidR="00DF6827" w:rsidRDefault="002970A3">
            <w:pPr>
              <w:pStyle w:val="Footer"/>
              <w:jc w:val="right"/>
            </w:pPr>
            <w:r>
              <w:t xml:space="preserve">Updated </w:t>
            </w:r>
            <w:r w:rsidR="00AB1D08">
              <w:t xml:space="preserve">as of </w:t>
            </w:r>
            <w:r w:rsidR="00E6236B">
              <w:t>October, 2017</w:t>
            </w:r>
            <w:r w:rsidR="00AB1D08">
              <w:tab/>
            </w:r>
            <w:r w:rsidR="00AB1D08">
              <w:tab/>
            </w:r>
            <w:r w:rsidR="00DF6827">
              <w:t xml:space="preserve">Page </w:t>
            </w:r>
            <w:r w:rsidR="00DF6827">
              <w:rPr>
                <w:b/>
                <w:bCs/>
                <w:sz w:val="24"/>
                <w:szCs w:val="24"/>
              </w:rPr>
              <w:fldChar w:fldCharType="begin"/>
            </w:r>
            <w:r w:rsidR="00DF6827">
              <w:rPr>
                <w:b/>
                <w:bCs/>
              </w:rPr>
              <w:instrText xml:space="preserve"> PAGE </w:instrText>
            </w:r>
            <w:r w:rsidR="00DF6827">
              <w:rPr>
                <w:b/>
                <w:bCs/>
                <w:sz w:val="24"/>
                <w:szCs w:val="24"/>
              </w:rPr>
              <w:fldChar w:fldCharType="separate"/>
            </w:r>
            <w:r w:rsidR="0002312B">
              <w:rPr>
                <w:b/>
                <w:bCs/>
                <w:noProof/>
              </w:rPr>
              <w:t>13</w:t>
            </w:r>
            <w:r w:rsidR="00DF6827">
              <w:rPr>
                <w:b/>
                <w:bCs/>
                <w:sz w:val="24"/>
                <w:szCs w:val="24"/>
              </w:rPr>
              <w:fldChar w:fldCharType="end"/>
            </w:r>
            <w:r w:rsidR="00DF6827">
              <w:t xml:space="preserve"> of </w:t>
            </w:r>
            <w:r w:rsidR="00DF6827">
              <w:rPr>
                <w:b/>
                <w:bCs/>
                <w:sz w:val="24"/>
                <w:szCs w:val="24"/>
              </w:rPr>
              <w:fldChar w:fldCharType="begin"/>
            </w:r>
            <w:r w:rsidR="00DF6827">
              <w:rPr>
                <w:b/>
                <w:bCs/>
              </w:rPr>
              <w:instrText xml:space="preserve"> NUMPAGES  </w:instrText>
            </w:r>
            <w:r w:rsidR="00DF6827">
              <w:rPr>
                <w:b/>
                <w:bCs/>
                <w:sz w:val="24"/>
                <w:szCs w:val="24"/>
              </w:rPr>
              <w:fldChar w:fldCharType="separate"/>
            </w:r>
            <w:r w:rsidR="0002312B">
              <w:rPr>
                <w:b/>
                <w:bCs/>
                <w:noProof/>
              </w:rPr>
              <w:t>13</w:t>
            </w:r>
            <w:r w:rsidR="00DF6827">
              <w:rPr>
                <w:b/>
                <w:bCs/>
                <w:sz w:val="24"/>
                <w:szCs w:val="24"/>
              </w:rPr>
              <w:fldChar w:fldCharType="end"/>
            </w:r>
          </w:p>
        </w:sdtContent>
      </w:sdt>
    </w:sdtContent>
  </w:sdt>
  <w:p w14:paraId="1BE38C4A" w14:textId="7B81001C" w:rsidR="00B10F57" w:rsidRPr="003A2D7E" w:rsidRDefault="00B10F57" w:rsidP="003A2D7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DC3E" w14:textId="77777777" w:rsidR="00E6236B" w:rsidRDefault="00E62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E8902" w14:textId="77777777" w:rsidR="00250B8A" w:rsidRDefault="00250B8A" w:rsidP="00B62A64">
      <w:pPr>
        <w:spacing w:after="0" w:line="240" w:lineRule="auto"/>
      </w:pPr>
      <w:r>
        <w:separator/>
      </w:r>
    </w:p>
  </w:footnote>
  <w:footnote w:type="continuationSeparator" w:id="0">
    <w:p w14:paraId="37133508" w14:textId="77777777" w:rsidR="00250B8A" w:rsidRDefault="00250B8A" w:rsidP="00B62A64">
      <w:pPr>
        <w:spacing w:after="0" w:line="240" w:lineRule="auto"/>
      </w:pPr>
      <w:r>
        <w:continuationSeparator/>
      </w:r>
    </w:p>
  </w:footnote>
  <w:footnote w:id="1">
    <w:p w14:paraId="2968B111" w14:textId="214DF7E6" w:rsidR="00FB493C" w:rsidRDefault="00FB493C">
      <w:pPr>
        <w:pStyle w:val="FootnoteText"/>
      </w:pPr>
      <w:r>
        <w:rPr>
          <w:rStyle w:val="FootnoteReference"/>
        </w:rPr>
        <w:footnoteRef/>
      </w:r>
      <w:r>
        <w:t xml:space="preserve"> </w:t>
      </w:r>
      <w:r w:rsidRPr="00FB493C">
        <w:t>Iowa State University COE Governance Document, 08 March 2012.</w:t>
      </w:r>
    </w:p>
  </w:footnote>
  <w:footnote w:id="2">
    <w:p w14:paraId="5C7C6B74" w14:textId="3F20CBC5" w:rsidR="00FB493C" w:rsidRDefault="00FB493C">
      <w:pPr>
        <w:pStyle w:val="FootnoteText"/>
      </w:pPr>
      <w:r>
        <w:rPr>
          <w:rStyle w:val="FootnoteReference"/>
        </w:rPr>
        <w:footnoteRef/>
      </w:r>
      <w:r>
        <w:t xml:space="preserve"> </w:t>
      </w:r>
      <w:r w:rsidRPr="00602E08">
        <w:rPr>
          <w:rFonts w:ascii="Times New Roman" w:eastAsia="Times New Roman" w:hAnsi="Times New Roman" w:cs="Times New Roman"/>
        </w:rPr>
        <w:t xml:space="preserve">C. Wegener, “Liberal Education and the Modern University”, 1978 citing D. Gilman, Launching of a University and Other Papers, New York:  Dodd Mead &amp; </w:t>
      </w:r>
      <w:r>
        <w:rPr>
          <w:rFonts w:ascii="Times New Roman" w:eastAsia="Times New Roman" w:hAnsi="Times New Roman" w:cs="Times New Roman"/>
        </w:rPr>
        <w:t>C</w:t>
      </w:r>
      <w:r w:rsidRPr="00602E08">
        <w:rPr>
          <w:rFonts w:ascii="Times New Roman" w:eastAsia="Times New Roman" w:hAnsi="Times New Roman" w:cs="Times New Roman"/>
        </w:rPr>
        <w:t>o., 1906.</w:t>
      </w:r>
    </w:p>
  </w:footnote>
  <w:footnote w:id="3">
    <w:p w14:paraId="7A1B6E34" w14:textId="25F82FC5" w:rsidR="00DE37F4" w:rsidRDefault="00DE37F4">
      <w:pPr>
        <w:pStyle w:val="FootnoteText"/>
      </w:pPr>
      <w:r>
        <w:rPr>
          <w:rStyle w:val="FootnoteReference"/>
        </w:rPr>
        <w:footnoteRef/>
      </w:r>
      <w:r>
        <w:t xml:space="preserve"> </w:t>
      </w:r>
      <w:r w:rsidRPr="003A290C">
        <w:rPr>
          <w:rFonts w:ascii="Times New Roman" w:hAnsi="Times New Roman" w:cs="Times New Roman"/>
        </w:rPr>
        <w:t xml:space="preserve">Boyer, </w:t>
      </w:r>
      <w:r>
        <w:rPr>
          <w:rFonts w:ascii="Times New Roman" w:hAnsi="Times New Roman" w:cs="Times New Roman"/>
        </w:rPr>
        <w:t xml:space="preserve">E.L., </w:t>
      </w:r>
      <w:r w:rsidRPr="003A290C">
        <w:rPr>
          <w:rFonts w:ascii="Times New Roman" w:hAnsi="Times New Roman" w:cs="Times New Roman"/>
        </w:rPr>
        <w:t>Scholarship Reconsidered</w:t>
      </w:r>
      <w:r>
        <w:rPr>
          <w:rFonts w:ascii="Times New Roman" w:hAnsi="Times New Roman" w:cs="Times New Roman"/>
        </w:rPr>
        <w:t xml:space="preserve"> – Priorities of the Professoriate</w:t>
      </w:r>
      <w:r w:rsidRPr="003A290C">
        <w:rPr>
          <w:rFonts w:ascii="Times New Roman" w:hAnsi="Times New Roman" w:cs="Times New Roman"/>
        </w:rPr>
        <w:t>, Carnegie Foundation for the Advancement of Teaching, 1990.</w:t>
      </w:r>
    </w:p>
  </w:footnote>
  <w:footnote w:id="4">
    <w:p w14:paraId="1EDF7C75" w14:textId="59C49DAB" w:rsidR="00DE37F4" w:rsidRDefault="00DE37F4">
      <w:pPr>
        <w:pStyle w:val="FootnoteText"/>
      </w:pPr>
      <w:r>
        <w:rPr>
          <w:rStyle w:val="FootnoteReference"/>
        </w:rPr>
        <w:footnoteRef/>
      </w:r>
      <w:r>
        <w:t xml:space="preserve"> </w:t>
      </w:r>
      <w:r w:rsidRPr="00E45A8B">
        <w:t>http://www.northeastern.edu/cpsfacultycentral/wp-content/uploads/2013/03/Defining-Scholarship-with-Boyers-Four-Areas-of-Scholarship-Explored-and-the-New-Digital-Scholarship-A-Faculty-Conversation.pdf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3D81" w14:textId="77777777" w:rsidR="00E6236B" w:rsidRDefault="00E62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6BA5" w14:textId="39D06F1D" w:rsidR="00B62A64" w:rsidRPr="00B62A64" w:rsidRDefault="009920A6" w:rsidP="00B62A64">
    <w:pPr>
      <w:widowControl w:val="0"/>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4"/>
        <w:szCs w:val="24"/>
      </w:rPr>
    </w:pPr>
    <w:r w:rsidRPr="009920A6">
      <w:rPr>
        <w:rFonts w:ascii="Times New Roman" w:eastAsia="Times New Roman" w:hAnsi="Times New Roman" w:cs="Times New Roman"/>
        <w:sz w:val="24"/>
        <w:szCs w:val="24"/>
      </w:rPr>
      <w:t xml:space="preserve"> Department of Construction Management and Engineering</w:t>
    </w:r>
  </w:p>
  <w:p w14:paraId="27947E55" w14:textId="77777777" w:rsidR="009920A6" w:rsidRPr="009920A6" w:rsidRDefault="009920A6" w:rsidP="009920A6">
    <w:pPr>
      <w:widowControl w:val="0"/>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4"/>
        <w:szCs w:val="24"/>
      </w:rPr>
    </w:pPr>
    <w:r w:rsidRPr="009920A6">
      <w:rPr>
        <w:rFonts w:ascii="Times New Roman" w:eastAsia="Times New Roman" w:hAnsi="Times New Roman" w:cs="Times New Roman"/>
        <w:sz w:val="24"/>
        <w:szCs w:val="24"/>
      </w:rPr>
      <w:t>Promotion, Tenure and Evaluation Guidelines, Procedures, and Criteria</w:t>
    </w:r>
  </w:p>
  <w:p w14:paraId="4E94B28A" w14:textId="77777777" w:rsidR="009920A6" w:rsidRPr="009920A6" w:rsidRDefault="009920A6" w:rsidP="009920A6">
    <w:pPr>
      <w:widowControl w:val="0"/>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4"/>
        <w:szCs w:val="24"/>
      </w:rPr>
    </w:pPr>
    <w:r w:rsidRPr="009920A6">
      <w:rPr>
        <w:rFonts w:ascii="Times New Roman" w:eastAsia="Times New Roman" w:hAnsi="Times New Roman" w:cs="Times New Roman"/>
        <w:sz w:val="24"/>
        <w:szCs w:val="24"/>
      </w:rPr>
      <w:t>August 2010 Amended for Minor Revision</w:t>
    </w:r>
  </w:p>
  <w:p w14:paraId="2E366B24" w14:textId="5D058E5A" w:rsidR="00B62A64" w:rsidRDefault="00C5299A" w:rsidP="009920A6">
    <w:pPr>
      <w:widowControl w:val="0"/>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16, 2017</w:t>
    </w:r>
    <w:r w:rsidR="009920A6" w:rsidRPr="009920A6">
      <w:rPr>
        <w:rFonts w:ascii="Times New Roman" w:eastAsia="Times New Roman" w:hAnsi="Times New Roman" w:cs="Times New Roman"/>
        <w:sz w:val="24"/>
        <w:szCs w:val="24"/>
      </w:rPr>
      <w:t xml:space="preserve"> Amended for Revision</w:t>
    </w:r>
  </w:p>
  <w:p w14:paraId="393307F5" w14:textId="08125D57" w:rsidR="00E6236B" w:rsidRPr="00B62A64" w:rsidRDefault="00E6236B" w:rsidP="009920A6">
    <w:pPr>
      <w:widowControl w:val="0"/>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2017 Amended for Minor Revision</w:t>
    </w:r>
  </w:p>
  <w:p w14:paraId="78B90184" w14:textId="77777777" w:rsidR="00B62A64" w:rsidRDefault="00B62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EB98" w14:textId="77777777" w:rsidR="00E6236B" w:rsidRDefault="00E62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BCF"/>
    <w:multiLevelType w:val="hybridMultilevel"/>
    <w:tmpl w:val="C55CF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256CF"/>
    <w:multiLevelType w:val="hybridMultilevel"/>
    <w:tmpl w:val="FE9C69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0212AF"/>
    <w:multiLevelType w:val="hybridMultilevel"/>
    <w:tmpl w:val="13EC9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F5BB0"/>
    <w:multiLevelType w:val="hybridMultilevel"/>
    <w:tmpl w:val="4C3AC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83695"/>
    <w:multiLevelType w:val="hybridMultilevel"/>
    <w:tmpl w:val="8782234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9260CA"/>
    <w:multiLevelType w:val="hybridMultilevel"/>
    <w:tmpl w:val="E856C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BE475D"/>
    <w:multiLevelType w:val="hybridMultilevel"/>
    <w:tmpl w:val="EF2E3C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8223E5"/>
    <w:multiLevelType w:val="hybridMultilevel"/>
    <w:tmpl w:val="604CD2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8C0C4A"/>
    <w:multiLevelType w:val="hybridMultilevel"/>
    <w:tmpl w:val="3B30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66B90"/>
    <w:multiLevelType w:val="hybridMultilevel"/>
    <w:tmpl w:val="68120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7A3A56"/>
    <w:multiLevelType w:val="hybridMultilevel"/>
    <w:tmpl w:val="511CFB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6747E1"/>
    <w:multiLevelType w:val="hybridMultilevel"/>
    <w:tmpl w:val="ACE44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00783C"/>
    <w:multiLevelType w:val="hybridMultilevel"/>
    <w:tmpl w:val="E7683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276BA6"/>
    <w:multiLevelType w:val="hybridMultilevel"/>
    <w:tmpl w:val="13EC9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2B26F9"/>
    <w:multiLevelType w:val="hybridMultilevel"/>
    <w:tmpl w:val="B6E88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2771D"/>
    <w:multiLevelType w:val="hybridMultilevel"/>
    <w:tmpl w:val="EC24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00EC5"/>
    <w:multiLevelType w:val="hybridMultilevel"/>
    <w:tmpl w:val="7F86C1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44EE2083"/>
    <w:multiLevelType w:val="hybridMultilevel"/>
    <w:tmpl w:val="EE78F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907328"/>
    <w:multiLevelType w:val="hybridMultilevel"/>
    <w:tmpl w:val="24B80D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46808"/>
    <w:multiLevelType w:val="hybridMultilevel"/>
    <w:tmpl w:val="9BF490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6F44A0A"/>
    <w:multiLevelType w:val="hybridMultilevel"/>
    <w:tmpl w:val="551EE098"/>
    <w:lvl w:ilvl="0" w:tplc="572CA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E34917"/>
    <w:multiLevelType w:val="hybridMultilevel"/>
    <w:tmpl w:val="5F4A29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D85547"/>
    <w:multiLevelType w:val="hybridMultilevel"/>
    <w:tmpl w:val="8188C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9EE55D1"/>
    <w:multiLevelType w:val="hybridMultilevel"/>
    <w:tmpl w:val="76DC6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7B2418"/>
    <w:multiLevelType w:val="hybridMultilevel"/>
    <w:tmpl w:val="BC12A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BD6E60"/>
    <w:multiLevelType w:val="hybridMultilevel"/>
    <w:tmpl w:val="3A5C4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796454E"/>
    <w:multiLevelType w:val="hybridMultilevel"/>
    <w:tmpl w:val="292E4D9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531D6B"/>
    <w:multiLevelType w:val="hybridMultilevel"/>
    <w:tmpl w:val="A42EFEB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285AB9"/>
    <w:multiLevelType w:val="hybridMultilevel"/>
    <w:tmpl w:val="782EEB6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02F132D"/>
    <w:multiLevelType w:val="hybridMultilevel"/>
    <w:tmpl w:val="C66001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1148C5"/>
    <w:multiLevelType w:val="hybridMultilevel"/>
    <w:tmpl w:val="E84AEBA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864AF9"/>
    <w:multiLevelType w:val="hybridMultilevel"/>
    <w:tmpl w:val="EC5E8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7"/>
  </w:num>
  <w:num w:numId="4">
    <w:abstractNumId w:val="9"/>
  </w:num>
  <w:num w:numId="5">
    <w:abstractNumId w:val="11"/>
  </w:num>
  <w:num w:numId="6">
    <w:abstractNumId w:val="24"/>
  </w:num>
  <w:num w:numId="7">
    <w:abstractNumId w:val="3"/>
  </w:num>
  <w:num w:numId="8">
    <w:abstractNumId w:val="15"/>
  </w:num>
  <w:num w:numId="9">
    <w:abstractNumId w:val="20"/>
  </w:num>
  <w:num w:numId="10">
    <w:abstractNumId w:val="16"/>
  </w:num>
  <w:num w:numId="11">
    <w:abstractNumId w:val="8"/>
  </w:num>
  <w:num w:numId="12">
    <w:abstractNumId w:val="31"/>
  </w:num>
  <w:num w:numId="13">
    <w:abstractNumId w:val="10"/>
  </w:num>
  <w:num w:numId="14">
    <w:abstractNumId w:val="7"/>
  </w:num>
  <w:num w:numId="15">
    <w:abstractNumId w:val="29"/>
  </w:num>
  <w:num w:numId="16">
    <w:abstractNumId w:val="12"/>
  </w:num>
  <w:num w:numId="17">
    <w:abstractNumId w:val="13"/>
  </w:num>
  <w:num w:numId="18">
    <w:abstractNumId w:val="30"/>
  </w:num>
  <w:num w:numId="19">
    <w:abstractNumId w:val="27"/>
  </w:num>
  <w:num w:numId="20">
    <w:abstractNumId w:val="22"/>
  </w:num>
  <w:num w:numId="21">
    <w:abstractNumId w:val="19"/>
  </w:num>
  <w:num w:numId="22">
    <w:abstractNumId w:val="21"/>
  </w:num>
  <w:num w:numId="23">
    <w:abstractNumId w:val="26"/>
  </w:num>
  <w:num w:numId="24">
    <w:abstractNumId w:val="4"/>
  </w:num>
  <w:num w:numId="25">
    <w:abstractNumId w:val="25"/>
  </w:num>
  <w:num w:numId="26">
    <w:abstractNumId w:val="6"/>
  </w:num>
  <w:num w:numId="27">
    <w:abstractNumId w:val="14"/>
  </w:num>
  <w:num w:numId="28">
    <w:abstractNumId w:val="18"/>
  </w:num>
  <w:num w:numId="29">
    <w:abstractNumId w:val="23"/>
  </w:num>
  <w:num w:numId="30">
    <w:abstractNumId w:val="28"/>
  </w:num>
  <w:num w:numId="31">
    <w:abstractNumId w:val="0"/>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64"/>
    <w:rsid w:val="0000034A"/>
    <w:rsid w:val="00003D67"/>
    <w:rsid w:val="000070DA"/>
    <w:rsid w:val="000218F4"/>
    <w:rsid w:val="0002312B"/>
    <w:rsid w:val="0002729A"/>
    <w:rsid w:val="000309B0"/>
    <w:rsid w:val="00030EE8"/>
    <w:rsid w:val="00050C16"/>
    <w:rsid w:val="00067ED8"/>
    <w:rsid w:val="000707DD"/>
    <w:rsid w:val="00074C5A"/>
    <w:rsid w:val="00084C14"/>
    <w:rsid w:val="00085147"/>
    <w:rsid w:val="000A2899"/>
    <w:rsid w:val="000A58F3"/>
    <w:rsid w:val="000A5E36"/>
    <w:rsid w:val="000B0B15"/>
    <w:rsid w:val="000B1F66"/>
    <w:rsid w:val="000C2E96"/>
    <w:rsid w:val="000E5947"/>
    <w:rsid w:val="000F5EFF"/>
    <w:rsid w:val="001008D8"/>
    <w:rsid w:val="00103F47"/>
    <w:rsid w:val="001129BF"/>
    <w:rsid w:val="001338B9"/>
    <w:rsid w:val="00140084"/>
    <w:rsid w:val="00153275"/>
    <w:rsid w:val="00155F2E"/>
    <w:rsid w:val="001601FE"/>
    <w:rsid w:val="00165C61"/>
    <w:rsid w:val="0017297B"/>
    <w:rsid w:val="001763F3"/>
    <w:rsid w:val="001848E4"/>
    <w:rsid w:val="0019025A"/>
    <w:rsid w:val="001A0327"/>
    <w:rsid w:val="001B5F3E"/>
    <w:rsid w:val="001B7A53"/>
    <w:rsid w:val="001C4362"/>
    <w:rsid w:val="001D06AB"/>
    <w:rsid w:val="001E2412"/>
    <w:rsid w:val="001F0F52"/>
    <w:rsid w:val="001F2846"/>
    <w:rsid w:val="001F4EBA"/>
    <w:rsid w:val="001F5203"/>
    <w:rsid w:val="002006F0"/>
    <w:rsid w:val="00205F89"/>
    <w:rsid w:val="002163A4"/>
    <w:rsid w:val="00224AD2"/>
    <w:rsid w:val="002469A7"/>
    <w:rsid w:val="00250B8A"/>
    <w:rsid w:val="0026591C"/>
    <w:rsid w:val="002704E8"/>
    <w:rsid w:val="00283905"/>
    <w:rsid w:val="00284591"/>
    <w:rsid w:val="00287FB3"/>
    <w:rsid w:val="00290C63"/>
    <w:rsid w:val="00291AE5"/>
    <w:rsid w:val="002970A3"/>
    <w:rsid w:val="002A6025"/>
    <w:rsid w:val="002C49F0"/>
    <w:rsid w:val="002D386D"/>
    <w:rsid w:val="002E70F6"/>
    <w:rsid w:val="002F0941"/>
    <w:rsid w:val="002F1D36"/>
    <w:rsid w:val="002F3F64"/>
    <w:rsid w:val="002F743D"/>
    <w:rsid w:val="0030022E"/>
    <w:rsid w:val="00300DD6"/>
    <w:rsid w:val="00302A56"/>
    <w:rsid w:val="00304B32"/>
    <w:rsid w:val="00310F3F"/>
    <w:rsid w:val="00312C21"/>
    <w:rsid w:val="00330280"/>
    <w:rsid w:val="003374C4"/>
    <w:rsid w:val="00337632"/>
    <w:rsid w:val="0034381A"/>
    <w:rsid w:val="00353A5E"/>
    <w:rsid w:val="00357BE9"/>
    <w:rsid w:val="00364403"/>
    <w:rsid w:val="003648D2"/>
    <w:rsid w:val="00365F97"/>
    <w:rsid w:val="003720C8"/>
    <w:rsid w:val="00387FF0"/>
    <w:rsid w:val="003928D6"/>
    <w:rsid w:val="0039356A"/>
    <w:rsid w:val="003A2D7E"/>
    <w:rsid w:val="003A3460"/>
    <w:rsid w:val="003B2C3C"/>
    <w:rsid w:val="003C16A8"/>
    <w:rsid w:val="003C1F4D"/>
    <w:rsid w:val="003D5310"/>
    <w:rsid w:val="003D5985"/>
    <w:rsid w:val="00426AE7"/>
    <w:rsid w:val="004310E1"/>
    <w:rsid w:val="00443CF1"/>
    <w:rsid w:val="0045015D"/>
    <w:rsid w:val="00456CE6"/>
    <w:rsid w:val="00477ECE"/>
    <w:rsid w:val="00487B51"/>
    <w:rsid w:val="004945E8"/>
    <w:rsid w:val="00496A1F"/>
    <w:rsid w:val="004B6488"/>
    <w:rsid w:val="004C0A5B"/>
    <w:rsid w:val="004C21F1"/>
    <w:rsid w:val="004F55C3"/>
    <w:rsid w:val="00524456"/>
    <w:rsid w:val="00537E2D"/>
    <w:rsid w:val="00546BDD"/>
    <w:rsid w:val="005545E4"/>
    <w:rsid w:val="00554828"/>
    <w:rsid w:val="00563C40"/>
    <w:rsid w:val="00565248"/>
    <w:rsid w:val="005815BE"/>
    <w:rsid w:val="005908DA"/>
    <w:rsid w:val="005A3B02"/>
    <w:rsid w:val="005B2379"/>
    <w:rsid w:val="005B7AF4"/>
    <w:rsid w:val="005C034E"/>
    <w:rsid w:val="005C152A"/>
    <w:rsid w:val="005C6641"/>
    <w:rsid w:val="005D6DD0"/>
    <w:rsid w:val="005F00EB"/>
    <w:rsid w:val="005F764D"/>
    <w:rsid w:val="0060204C"/>
    <w:rsid w:val="00610A2A"/>
    <w:rsid w:val="0063238B"/>
    <w:rsid w:val="00644CFE"/>
    <w:rsid w:val="00662BFD"/>
    <w:rsid w:val="00677728"/>
    <w:rsid w:val="00694045"/>
    <w:rsid w:val="006C5D82"/>
    <w:rsid w:val="006D0B4E"/>
    <w:rsid w:val="006D2D17"/>
    <w:rsid w:val="007021B0"/>
    <w:rsid w:val="00702753"/>
    <w:rsid w:val="00706887"/>
    <w:rsid w:val="00713A3F"/>
    <w:rsid w:val="007210D7"/>
    <w:rsid w:val="00735CFD"/>
    <w:rsid w:val="007371CB"/>
    <w:rsid w:val="00742430"/>
    <w:rsid w:val="007461B5"/>
    <w:rsid w:val="007504CB"/>
    <w:rsid w:val="00762A70"/>
    <w:rsid w:val="0078360C"/>
    <w:rsid w:val="007853DF"/>
    <w:rsid w:val="007917D4"/>
    <w:rsid w:val="00795BD1"/>
    <w:rsid w:val="00796EEC"/>
    <w:rsid w:val="007A1981"/>
    <w:rsid w:val="007A76AB"/>
    <w:rsid w:val="007C232C"/>
    <w:rsid w:val="007D4B5A"/>
    <w:rsid w:val="007D55E2"/>
    <w:rsid w:val="007E5860"/>
    <w:rsid w:val="007F72C9"/>
    <w:rsid w:val="008076D1"/>
    <w:rsid w:val="00812A20"/>
    <w:rsid w:val="008138D7"/>
    <w:rsid w:val="00814280"/>
    <w:rsid w:val="00820A2F"/>
    <w:rsid w:val="00825B19"/>
    <w:rsid w:val="00831095"/>
    <w:rsid w:val="00847E52"/>
    <w:rsid w:val="00875556"/>
    <w:rsid w:val="00885E2C"/>
    <w:rsid w:val="008A124E"/>
    <w:rsid w:val="008A2835"/>
    <w:rsid w:val="008B2368"/>
    <w:rsid w:val="008C12B9"/>
    <w:rsid w:val="008D2C6E"/>
    <w:rsid w:val="008E09BC"/>
    <w:rsid w:val="008E3145"/>
    <w:rsid w:val="008E5903"/>
    <w:rsid w:val="008E688F"/>
    <w:rsid w:val="008F5E7D"/>
    <w:rsid w:val="00923931"/>
    <w:rsid w:val="00926824"/>
    <w:rsid w:val="00942E70"/>
    <w:rsid w:val="00950E9D"/>
    <w:rsid w:val="00963323"/>
    <w:rsid w:val="00963A38"/>
    <w:rsid w:val="00967032"/>
    <w:rsid w:val="009715FD"/>
    <w:rsid w:val="009759C7"/>
    <w:rsid w:val="00975D74"/>
    <w:rsid w:val="00980451"/>
    <w:rsid w:val="00990CDB"/>
    <w:rsid w:val="009911A6"/>
    <w:rsid w:val="009920A6"/>
    <w:rsid w:val="00993BF6"/>
    <w:rsid w:val="009A0BB5"/>
    <w:rsid w:val="009B64C2"/>
    <w:rsid w:val="009B78B0"/>
    <w:rsid w:val="009C6CAD"/>
    <w:rsid w:val="009D22A9"/>
    <w:rsid w:val="009D36E7"/>
    <w:rsid w:val="009E65F4"/>
    <w:rsid w:val="009F587A"/>
    <w:rsid w:val="009F5EEF"/>
    <w:rsid w:val="00A13A8A"/>
    <w:rsid w:val="00A158D4"/>
    <w:rsid w:val="00A22381"/>
    <w:rsid w:val="00A249A1"/>
    <w:rsid w:val="00A3246D"/>
    <w:rsid w:val="00A40640"/>
    <w:rsid w:val="00A4351F"/>
    <w:rsid w:val="00A50486"/>
    <w:rsid w:val="00A51230"/>
    <w:rsid w:val="00A61CBA"/>
    <w:rsid w:val="00A94C91"/>
    <w:rsid w:val="00AA14AC"/>
    <w:rsid w:val="00AA25ED"/>
    <w:rsid w:val="00AB0B37"/>
    <w:rsid w:val="00AB0F5D"/>
    <w:rsid w:val="00AB1D08"/>
    <w:rsid w:val="00AB6BA1"/>
    <w:rsid w:val="00AC1FC6"/>
    <w:rsid w:val="00AD189B"/>
    <w:rsid w:val="00AF20E6"/>
    <w:rsid w:val="00B00F9C"/>
    <w:rsid w:val="00B10F57"/>
    <w:rsid w:val="00B11DDD"/>
    <w:rsid w:val="00B16DC3"/>
    <w:rsid w:val="00B23CC9"/>
    <w:rsid w:val="00B26343"/>
    <w:rsid w:val="00B351E4"/>
    <w:rsid w:val="00B375D7"/>
    <w:rsid w:val="00B534C8"/>
    <w:rsid w:val="00B62A64"/>
    <w:rsid w:val="00B62C5F"/>
    <w:rsid w:val="00B64259"/>
    <w:rsid w:val="00B77F59"/>
    <w:rsid w:val="00B80CF9"/>
    <w:rsid w:val="00B832F1"/>
    <w:rsid w:val="00BA39BF"/>
    <w:rsid w:val="00BB2365"/>
    <w:rsid w:val="00BB43AD"/>
    <w:rsid w:val="00BB74F7"/>
    <w:rsid w:val="00BD2A7E"/>
    <w:rsid w:val="00BD7CED"/>
    <w:rsid w:val="00BF1B1C"/>
    <w:rsid w:val="00BF649C"/>
    <w:rsid w:val="00C016E6"/>
    <w:rsid w:val="00C15195"/>
    <w:rsid w:val="00C16848"/>
    <w:rsid w:val="00C332D2"/>
    <w:rsid w:val="00C3362C"/>
    <w:rsid w:val="00C423A9"/>
    <w:rsid w:val="00C43432"/>
    <w:rsid w:val="00C434D7"/>
    <w:rsid w:val="00C50742"/>
    <w:rsid w:val="00C5299A"/>
    <w:rsid w:val="00C6354C"/>
    <w:rsid w:val="00C73E66"/>
    <w:rsid w:val="00C963E1"/>
    <w:rsid w:val="00C9648A"/>
    <w:rsid w:val="00CC5367"/>
    <w:rsid w:val="00CE0147"/>
    <w:rsid w:val="00CE21C9"/>
    <w:rsid w:val="00D0615B"/>
    <w:rsid w:val="00D154E6"/>
    <w:rsid w:val="00D20185"/>
    <w:rsid w:val="00D26C7B"/>
    <w:rsid w:val="00D31DDA"/>
    <w:rsid w:val="00D4088E"/>
    <w:rsid w:val="00D54D52"/>
    <w:rsid w:val="00D55309"/>
    <w:rsid w:val="00D642F2"/>
    <w:rsid w:val="00D8753C"/>
    <w:rsid w:val="00D876E0"/>
    <w:rsid w:val="00D93808"/>
    <w:rsid w:val="00D96273"/>
    <w:rsid w:val="00DA30E4"/>
    <w:rsid w:val="00DB5C35"/>
    <w:rsid w:val="00DC3A44"/>
    <w:rsid w:val="00DC4B8D"/>
    <w:rsid w:val="00DC757B"/>
    <w:rsid w:val="00DD0EEC"/>
    <w:rsid w:val="00DD2D83"/>
    <w:rsid w:val="00DE37F4"/>
    <w:rsid w:val="00DE69EB"/>
    <w:rsid w:val="00DF6827"/>
    <w:rsid w:val="00E07ED1"/>
    <w:rsid w:val="00E10147"/>
    <w:rsid w:val="00E12672"/>
    <w:rsid w:val="00E16117"/>
    <w:rsid w:val="00E2214C"/>
    <w:rsid w:val="00E3455A"/>
    <w:rsid w:val="00E34C2F"/>
    <w:rsid w:val="00E36935"/>
    <w:rsid w:val="00E45A8B"/>
    <w:rsid w:val="00E46722"/>
    <w:rsid w:val="00E472E1"/>
    <w:rsid w:val="00E54171"/>
    <w:rsid w:val="00E60458"/>
    <w:rsid w:val="00E6236B"/>
    <w:rsid w:val="00E6434D"/>
    <w:rsid w:val="00E83D86"/>
    <w:rsid w:val="00E86A1D"/>
    <w:rsid w:val="00EA0072"/>
    <w:rsid w:val="00EA27DA"/>
    <w:rsid w:val="00EB2758"/>
    <w:rsid w:val="00EC5CF1"/>
    <w:rsid w:val="00ED3257"/>
    <w:rsid w:val="00EE22E1"/>
    <w:rsid w:val="00EE29CE"/>
    <w:rsid w:val="00EE563F"/>
    <w:rsid w:val="00EE61BF"/>
    <w:rsid w:val="00EF1BB7"/>
    <w:rsid w:val="00EF3C44"/>
    <w:rsid w:val="00F067AA"/>
    <w:rsid w:val="00F144F8"/>
    <w:rsid w:val="00F2425D"/>
    <w:rsid w:val="00F269C4"/>
    <w:rsid w:val="00F30524"/>
    <w:rsid w:val="00F3345B"/>
    <w:rsid w:val="00F422BB"/>
    <w:rsid w:val="00F50D1A"/>
    <w:rsid w:val="00F520B5"/>
    <w:rsid w:val="00F63024"/>
    <w:rsid w:val="00F73759"/>
    <w:rsid w:val="00F83157"/>
    <w:rsid w:val="00F92777"/>
    <w:rsid w:val="00F929E9"/>
    <w:rsid w:val="00FB493C"/>
    <w:rsid w:val="00FB524F"/>
    <w:rsid w:val="00FD538D"/>
    <w:rsid w:val="00FD7CA9"/>
    <w:rsid w:val="00FF4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6FADC25"/>
  <w15:docId w15:val="{FAD5D34B-B962-4168-B97D-8ADA2C25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64"/>
  </w:style>
  <w:style w:type="paragraph" w:styleId="Footer">
    <w:name w:val="footer"/>
    <w:basedOn w:val="Normal"/>
    <w:link w:val="FooterChar"/>
    <w:uiPriority w:val="99"/>
    <w:unhideWhenUsed/>
    <w:rsid w:val="00B6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64"/>
  </w:style>
  <w:style w:type="character" w:styleId="CommentReference">
    <w:name w:val="annotation reference"/>
    <w:basedOn w:val="DefaultParagraphFont"/>
    <w:uiPriority w:val="99"/>
    <w:semiHidden/>
    <w:unhideWhenUsed/>
    <w:rsid w:val="00B62A64"/>
    <w:rPr>
      <w:sz w:val="16"/>
      <w:szCs w:val="16"/>
    </w:rPr>
  </w:style>
  <w:style w:type="paragraph" w:styleId="CommentText">
    <w:name w:val="annotation text"/>
    <w:basedOn w:val="Normal"/>
    <w:link w:val="CommentTextChar"/>
    <w:uiPriority w:val="99"/>
    <w:unhideWhenUsed/>
    <w:rsid w:val="00B62A64"/>
    <w:pPr>
      <w:spacing w:line="240" w:lineRule="auto"/>
    </w:pPr>
    <w:rPr>
      <w:sz w:val="20"/>
      <w:szCs w:val="20"/>
    </w:rPr>
  </w:style>
  <w:style w:type="character" w:customStyle="1" w:styleId="CommentTextChar">
    <w:name w:val="Comment Text Char"/>
    <w:basedOn w:val="DefaultParagraphFont"/>
    <w:link w:val="CommentText"/>
    <w:uiPriority w:val="99"/>
    <w:rsid w:val="00B62A64"/>
    <w:rPr>
      <w:sz w:val="20"/>
      <w:szCs w:val="20"/>
    </w:rPr>
  </w:style>
  <w:style w:type="paragraph" w:styleId="CommentSubject">
    <w:name w:val="annotation subject"/>
    <w:basedOn w:val="CommentText"/>
    <w:next w:val="CommentText"/>
    <w:link w:val="CommentSubjectChar"/>
    <w:uiPriority w:val="99"/>
    <w:semiHidden/>
    <w:unhideWhenUsed/>
    <w:rsid w:val="00B62A64"/>
    <w:rPr>
      <w:b/>
      <w:bCs/>
    </w:rPr>
  </w:style>
  <w:style w:type="character" w:customStyle="1" w:styleId="CommentSubjectChar">
    <w:name w:val="Comment Subject Char"/>
    <w:basedOn w:val="CommentTextChar"/>
    <w:link w:val="CommentSubject"/>
    <w:uiPriority w:val="99"/>
    <w:semiHidden/>
    <w:rsid w:val="00B62A64"/>
    <w:rPr>
      <w:b/>
      <w:bCs/>
      <w:sz w:val="20"/>
      <w:szCs w:val="20"/>
    </w:rPr>
  </w:style>
  <w:style w:type="paragraph" w:styleId="BalloonText">
    <w:name w:val="Balloon Text"/>
    <w:basedOn w:val="Normal"/>
    <w:link w:val="BalloonTextChar"/>
    <w:uiPriority w:val="99"/>
    <w:semiHidden/>
    <w:unhideWhenUsed/>
    <w:rsid w:val="00B6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64"/>
    <w:rPr>
      <w:rFonts w:ascii="Tahoma" w:hAnsi="Tahoma" w:cs="Tahoma"/>
      <w:sz w:val="16"/>
      <w:szCs w:val="16"/>
    </w:rPr>
  </w:style>
  <w:style w:type="character" w:customStyle="1" w:styleId="apple-style-span">
    <w:name w:val="apple-style-span"/>
    <w:basedOn w:val="DefaultParagraphFont"/>
    <w:rsid w:val="00AA14AC"/>
  </w:style>
  <w:style w:type="paragraph" w:styleId="ListParagraph">
    <w:name w:val="List Paragraph"/>
    <w:basedOn w:val="Normal"/>
    <w:uiPriority w:val="34"/>
    <w:qFormat/>
    <w:rsid w:val="00AC1FC6"/>
    <w:pPr>
      <w:ind w:left="720"/>
      <w:contextualSpacing/>
    </w:pPr>
  </w:style>
  <w:style w:type="character" w:styleId="Hyperlink">
    <w:name w:val="Hyperlink"/>
    <w:basedOn w:val="DefaultParagraphFont"/>
    <w:uiPriority w:val="99"/>
    <w:unhideWhenUsed/>
    <w:rsid w:val="00103F47"/>
    <w:rPr>
      <w:color w:val="0000FF" w:themeColor="hyperlink"/>
      <w:u w:val="single"/>
    </w:rPr>
  </w:style>
  <w:style w:type="character" w:styleId="FollowedHyperlink">
    <w:name w:val="FollowedHyperlink"/>
    <w:basedOn w:val="DefaultParagraphFont"/>
    <w:uiPriority w:val="99"/>
    <w:semiHidden/>
    <w:unhideWhenUsed/>
    <w:rsid w:val="00103F47"/>
    <w:rPr>
      <w:color w:val="800080" w:themeColor="followedHyperlink"/>
      <w:u w:val="single"/>
    </w:rPr>
  </w:style>
  <w:style w:type="paragraph" w:styleId="FootnoteText">
    <w:name w:val="footnote text"/>
    <w:basedOn w:val="Normal"/>
    <w:link w:val="FootnoteTextChar"/>
    <w:uiPriority w:val="99"/>
    <w:semiHidden/>
    <w:unhideWhenUsed/>
    <w:rsid w:val="00B23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CC9"/>
    <w:rPr>
      <w:sz w:val="20"/>
      <w:szCs w:val="20"/>
    </w:rPr>
  </w:style>
  <w:style w:type="character" w:styleId="FootnoteReference">
    <w:name w:val="footnote reference"/>
    <w:basedOn w:val="DefaultParagraphFont"/>
    <w:uiPriority w:val="99"/>
    <w:semiHidden/>
    <w:unhideWhenUsed/>
    <w:rsid w:val="00B23CC9"/>
    <w:rPr>
      <w:vertAlign w:val="superscript"/>
    </w:rPr>
  </w:style>
  <w:style w:type="character" w:customStyle="1" w:styleId="normaltextrun">
    <w:name w:val="normaltextrun"/>
    <w:basedOn w:val="DefaultParagraphFont"/>
    <w:rsid w:val="00B23CC9"/>
  </w:style>
  <w:style w:type="character" w:customStyle="1" w:styleId="apple-converted-space">
    <w:name w:val="apple-converted-space"/>
    <w:basedOn w:val="DefaultParagraphFont"/>
    <w:rsid w:val="00B23CC9"/>
  </w:style>
  <w:style w:type="character" w:customStyle="1" w:styleId="scx195683186">
    <w:name w:val="scx195683186"/>
    <w:basedOn w:val="DefaultParagraphFont"/>
    <w:rsid w:val="00B23CC9"/>
  </w:style>
  <w:style w:type="character" w:customStyle="1" w:styleId="eop">
    <w:name w:val="eop"/>
    <w:basedOn w:val="DefaultParagraphFont"/>
    <w:rsid w:val="00B23CC9"/>
  </w:style>
  <w:style w:type="paragraph" w:styleId="Revision">
    <w:name w:val="Revision"/>
    <w:hidden/>
    <w:uiPriority w:val="99"/>
    <w:semiHidden/>
    <w:rsid w:val="00310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04266">
      <w:bodyDiv w:val="1"/>
      <w:marLeft w:val="0"/>
      <w:marRight w:val="0"/>
      <w:marTop w:val="0"/>
      <w:marBottom w:val="0"/>
      <w:divBdr>
        <w:top w:val="none" w:sz="0" w:space="0" w:color="auto"/>
        <w:left w:val="none" w:sz="0" w:space="0" w:color="auto"/>
        <w:bottom w:val="none" w:sz="0" w:space="0" w:color="auto"/>
        <w:right w:val="none" w:sz="0" w:space="0" w:color="auto"/>
      </w:divBdr>
    </w:div>
    <w:div w:id="754519114">
      <w:bodyDiv w:val="1"/>
      <w:marLeft w:val="0"/>
      <w:marRight w:val="0"/>
      <w:marTop w:val="0"/>
      <w:marBottom w:val="0"/>
      <w:divBdr>
        <w:top w:val="none" w:sz="0" w:space="0" w:color="auto"/>
        <w:left w:val="none" w:sz="0" w:space="0" w:color="auto"/>
        <w:bottom w:val="none" w:sz="0" w:space="0" w:color="auto"/>
        <w:right w:val="none" w:sz="0" w:space="0" w:color="auto"/>
      </w:divBdr>
    </w:div>
    <w:div w:id="880019115">
      <w:bodyDiv w:val="1"/>
      <w:marLeft w:val="0"/>
      <w:marRight w:val="0"/>
      <w:marTop w:val="0"/>
      <w:marBottom w:val="0"/>
      <w:divBdr>
        <w:top w:val="none" w:sz="0" w:space="0" w:color="auto"/>
        <w:left w:val="none" w:sz="0" w:space="0" w:color="auto"/>
        <w:bottom w:val="none" w:sz="0" w:space="0" w:color="auto"/>
        <w:right w:val="none" w:sz="0" w:space="0" w:color="auto"/>
      </w:divBdr>
    </w:div>
    <w:div w:id="1080906635">
      <w:bodyDiv w:val="1"/>
      <w:marLeft w:val="0"/>
      <w:marRight w:val="0"/>
      <w:marTop w:val="0"/>
      <w:marBottom w:val="0"/>
      <w:divBdr>
        <w:top w:val="none" w:sz="0" w:space="0" w:color="auto"/>
        <w:left w:val="none" w:sz="0" w:space="0" w:color="auto"/>
        <w:bottom w:val="none" w:sz="0" w:space="0" w:color="auto"/>
        <w:right w:val="none" w:sz="0" w:space="0" w:color="auto"/>
      </w:divBdr>
    </w:div>
    <w:div w:id="18234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1775-7602-4BDD-BCC2-CF9DD8DE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Asa</dc:creator>
  <cp:lastModifiedBy>eric.asa@ndus.edu</cp:lastModifiedBy>
  <cp:revision>6</cp:revision>
  <cp:lastPrinted>2017-10-25T17:36:00Z</cp:lastPrinted>
  <dcterms:created xsi:type="dcterms:W3CDTF">2017-10-25T17:34:00Z</dcterms:created>
  <dcterms:modified xsi:type="dcterms:W3CDTF">2018-05-29T16:13:00Z</dcterms:modified>
</cp:coreProperties>
</file>