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79" w:rsidRDefault="009D4479">
      <w:pPr>
        <w:tabs>
          <w:tab w:val="center" w:pos="5400"/>
        </w:tabs>
      </w:pPr>
      <w:r>
        <w:tab/>
      </w:r>
      <w:r>
        <w:rPr>
          <w:b/>
          <w:bCs/>
        </w:rPr>
        <w:t xml:space="preserve">Comparison of Developmental Leave and Leave </w:t>
      </w:r>
      <w:r w:rsidR="00A64434">
        <w:rPr>
          <w:b/>
          <w:bCs/>
        </w:rPr>
        <w:t>W</w:t>
      </w:r>
      <w:r>
        <w:rPr>
          <w:b/>
          <w:bCs/>
        </w:rPr>
        <w:t>ithout Pay Policies *</w:t>
      </w: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3556"/>
        <w:gridCol w:w="3578"/>
        <w:gridCol w:w="3535"/>
      </w:tblGrid>
      <w:tr w:rsidR="009D4479">
        <w:tblPrEx>
          <w:tblCellMar>
            <w:top w:w="0" w:type="dxa"/>
            <w:bottom w:w="0" w:type="dxa"/>
          </w:tblCellMar>
        </w:tblPrEx>
        <w:trPr>
          <w:jc w:val="center"/>
        </w:trPr>
        <w:tc>
          <w:tcPr>
            <w:tcW w:w="3556" w:type="dxa"/>
            <w:tcBorders>
              <w:top w:val="double" w:sz="7" w:space="0" w:color="000000"/>
              <w:right w:val="double" w:sz="7" w:space="0" w:color="000000"/>
            </w:tcBorders>
            <w:shd w:val="pct10" w:color="000000" w:fill="FFFFFF"/>
          </w:tcPr>
          <w:p w:rsidR="009D4479" w:rsidRDefault="009D4479">
            <w:pPr>
              <w:spacing w:line="120" w:lineRule="exact"/>
            </w:pPr>
          </w:p>
          <w:p w:rsidR="009D4479" w:rsidRDefault="009D4479">
            <w:pPr>
              <w:spacing w:after="58"/>
              <w:rPr>
                <w:sz w:val="22"/>
                <w:szCs w:val="22"/>
              </w:rPr>
            </w:pPr>
          </w:p>
        </w:tc>
        <w:tc>
          <w:tcPr>
            <w:tcW w:w="3578" w:type="dxa"/>
            <w:tcBorders>
              <w:top w:val="double" w:sz="7" w:space="0" w:color="000000"/>
            </w:tcBorders>
            <w:shd w:val="pct10" w:color="000000" w:fill="FFFFFF"/>
          </w:tcPr>
          <w:p w:rsidR="009D4479" w:rsidRDefault="009D4479">
            <w:pPr>
              <w:spacing w:line="120" w:lineRule="exact"/>
              <w:rPr>
                <w:sz w:val="22"/>
                <w:szCs w:val="22"/>
              </w:rPr>
            </w:pPr>
          </w:p>
          <w:p w:rsidR="009D4479" w:rsidRDefault="009D4479">
            <w:pPr>
              <w:rPr>
                <w:smallCaps/>
                <w:sz w:val="22"/>
                <w:szCs w:val="22"/>
              </w:rPr>
            </w:pPr>
            <w:r>
              <w:rPr>
                <w:b/>
                <w:bCs/>
                <w:smallCaps/>
                <w:sz w:val="22"/>
                <w:szCs w:val="22"/>
              </w:rPr>
              <w:t>Developmental Leave</w:t>
            </w:r>
          </w:p>
          <w:p w:rsidR="009D4479" w:rsidRDefault="009D4479">
            <w:pPr>
              <w:spacing w:after="58"/>
              <w:rPr>
                <w:smallCaps/>
                <w:sz w:val="22"/>
                <w:szCs w:val="22"/>
              </w:rPr>
            </w:pPr>
            <w:r>
              <w:rPr>
                <w:smallCaps/>
                <w:sz w:val="22"/>
                <w:szCs w:val="22"/>
              </w:rPr>
              <w:t>(</w:t>
            </w:r>
            <w:r>
              <w:rPr>
                <w:i/>
                <w:iCs/>
                <w:smallCaps/>
                <w:sz w:val="22"/>
                <w:szCs w:val="22"/>
              </w:rPr>
              <w:t>NDSU</w:t>
            </w:r>
            <w:r>
              <w:rPr>
                <w:smallCaps/>
                <w:sz w:val="22"/>
                <w:szCs w:val="22"/>
              </w:rPr>
              <w:t xml:space="preserve"> </w:t>
            </w:r>
            <w:r>
              <w:rPr>
                <w:i/>
                <w:iCs/>
                <w:smallCaps/>
                <w:sz w:val="22"/>
                <w:szCs w:val="22"/>
              </w:rPr>
              <w:t>Policy 132</w:t>
            </w:r>
            <w:r>
              <w:rPr>
                <w:smallCaps/>
                <w:sz w:val="22"/>
                <w:szCs w:val="22"/>
              </w:rPr>
              <w:t>)</w:t>
            </w:r>
          </w:p>
        </w:tc>
        <w:tc>
          <w:tcPr>
            <w:tcW w:w="3535" w:type="dxa"/>
            <w:tcBorders>
              <w:top w:val="double" w:sz="7" w:space="0" w:color="000000"/>
            </w:tcBorders>
            <w:shd w:val="pct10" w:color="000000" w:fill="FFFFFF"/>
          </w:tcPr>
          <w:p w:rsidR="009D4479" w:rsidRDefault="009D4479">
            <w:pPr>
              <w:spacing w:line="120" w:lineRule="exact"/>
              <w:rPr>
                <w:smallCaps/>
                <w:sz w:val="22"/>
                <w:szCs w:val="22"/>
              </w:rPr>
            </w:pPr>
          </w:p>
          <w:p w:rsidR="009D4479" w:rsidRDefault="009D4479">
            <w:pPr>
              <w:rPr>
                <w:smallCaps/>
                <w:sz w:val="22"/>
                <w:szCs w:val="22"/>
              </w:rPr>
            </w:pPr>
            <w:r>
              <w:rPr>
                <w:b/>
                <w:bCs/>
                <w:smallCaps/>
                <w:sz w:val="22"/>
                <w:szCs w:val="22"/>
              </w:rPr>
              <w:t>Leave without Pay</w:t>
            </w:r>
          </w:p>
          <w:p w:rsidR="009D4479" w:rsidRDefault="009D4479">
            <w:pPr>
              <w:spacing w:after="58"/>
              <w:rPr>
                <w:smallCaps/>
              </w:rPr>
            </w:pPr>
            <w:r>
              <w:rPr>
                <w:smallCaps/>
                <w:sz w:val="22"/>
                <w:szCs w:val="22"/>
              </w:rPr>
              <w:t>(</w:t>
            </w:r>
            <w:r>
              <w:rPr>
                <w:i/>
                <w:iCs/>
                <w:smallCaps/>
                <w:sz w:val="22"/>
                <w:szCs w:val="22"/>
              </w:rPr>
              <w:t>NDSU Policy 314</w:t>
            </w:r>
            <w:r>
              <w:rPr>
                <w:smallCaps/>
                <w:sz w:val="22"/>
                <w:szCs w:val="22"/>
              </w:rPr>
              <w:t>)</w:t>
            </w:r>
          </w:p>
        </w:tc>
      </w:tr>
      <w:tr w:rsidR="009D4479">
        <w:tblPrEx>
          <w:tblCellMar>
            <w:top w:w="0" w:type="dxa"/>
            <w:bottom w:w="0" w:type="dxa"/>
          </w:tblCellMar>
        </w:tblPrEx>
        <w:trPr>
          <w:jc w:val="center"/>
        </w:trPr>
        <w:tc>
          <w:tcPr>
            <w:tcW w:w="3556" w:type="dxa"/>
            <w:tcBorders>
              <w:right w:val="double" w:sz="7" w:space="0" w:color="000000"/>
            </w:tcBorders>
            <w:shd w:val="pct10" w:color="000000" w:fill="FFFFFF"/>
          </w:tcPr>
          <w:p w:rsidR="009D4479" w:rsidRDefault="009D4479">
            <w:pPr>
              <w:spacing w:line="120" w:lineRule="exact"/>
              <w:rPr>
                <w:smallCaps/>
              </w:rPr>
            </w:pPr>
          </w:p>
          <w:p w:rsidR="009D4479" w:rsidRDefault="009D4479">
            <w:pPr>
              <w:spacing w:after="58"/>
              <w:rPr>
                <w:b/>
                <w:bCs/>
                <w:sz w:val="20"/>
                <w:szCs w:val="20"/>
              </w:rPr>
            </w:pPr>
            <w:r>
              <w:rPr>
                <w:b/>
                <w:bCs/>
                <w:sz w:val="20"/>
                <w:szCs w:val="20"/>
              </w:rPr>
              <w:t>Eligibility:</w:t>
            </w:r>
          </w:p>
        </w:tc>
        <w:tc>
          <w:tcPr>
            <w:tcW w:w="3578" w:type="dxa"/>
          </w:tcPr>
          <w:p w:rsidR="009D4479" w:rsidRDefault="009D4479">
            <w:pPr>
              <w:spacing w:line="120" w:lineRule="exact"/>
              <w:rPr>
                <w:b/>
                <w:bCs/>
                <w:sz w:val="20"/>
                <w:szCs w:val="20"/>
              </w:rPr>
            </w:pPr>
          </w:p>
          <w:p w:rsidR="009D4479" w:rsidRDefault="009D4479">
            <w:pPr>
              <w:spacing w:after="58"/>
              <w:rPr>
                <w:sz w:val="20"/>
                <w:szCs w:val="20"/>
              </w:rPr>
            </w:pPr>
            <w:r>
              <w:rPr>
                <w:sz w:val="20"/>
                <w:szCs w:val="20"/>
              </w:rPr>
              <w:t>Member of the faculty or staff with a minimum of three years of service at NDSU.</w:t>
            </w:r>
          </w:p>
        </w:tc>
        <w:tc>
          <w:tcPr>
            <w:tcW w:w="3535" w:type="dxa"/>
          </w:tcPr>
          <w:p w:rsidR="009D4479" w:rsidRDefault="009D4479">
            <w:pPr>
              <w:spacing w:line="120" w:lineRule="exact"/>
              <w:rPr>
                <w:sz w:val="20"/>
                <w:szCs w:val="20"/>
              </w:rPr>
            </w:pPr>
          </w:p>
          <w:p w:rsidR="009D4479" w:rsidRDefault="009D4479">
            <w:pPr>
              <w:spacing w:after="58"/>
              <w:rPr>
                <w:sz w:val="20"/>
                <w:szCs w:val="20"/>
              </w:rPr>
            </w:pPr>
            <w:r>
              <w:rPr>
                <w:sz w:val="20"/>
                <w:szCs w:val="20"/>
              </w:rPr>
              <w:t>Faculty, administrators, professional personnel after two (2) years of continuous employment.</w:t>
            </w:r>
          </w:p>
        </w:tc>
      </w:tr>
      <w:tr w:rsidR="009D4479">
        <w:tblPrEx>
          <w:tblCellMar>
            <w:top w:w="0" w:type="dxa"/>
            <w:bottom w:w="0" w:type="dxa"/>
          </w:tblCellMar>
        </w:tblPrEx>
        <w:trPr>
          <w:jc w:val="center"/>
        </w:trPr>
        <w:tc>
          <w:tcPr>
            <w:tcW w:w="3556" w:type="dxa"/>
            <w:tcBorders>
              <w:right w:val="double" w:sz="7" w:space="0" w:color="000000"/>
            </w:tcBorders>
            <w:shd w:val="pct10" w:color="000000" w:fill="FFFFFF"/>
          </w:tcPr>
          <w:p w:rsidR="009D4479" w:rsidRDefault="009D4479">
            <w:pPr>
              <w:spacing w:line="120" w:lineRule="exact"/>
              <w:rPr>
                <w:sz w:val="20"/>
                <w:szCs w:val="20"/>
              </w:rPr>
            </w:pPr>
          </w:p>
          <w:p w:rsidR="009D4479" w:rsidRDefault="009D4479">
            <w:pPr>
              <w:spacing w:after="58"/>
              <w:rPr>
                <w:b/>
                <w:bCs/>
                <w:sz w:val="20"/>
                <w:szCs w:val="20"/>
              </w:rPr>
            </w:pPr>
            <w:r>
              <w:rPr>
                <w:b/>
                <w:bCs/>
                <w:sz w:val="20"/>
                <w:szCs w:val="20"/>
              </w:rPr>
              <w:t>Purpose:</w:t>
            </w:r>
          </w:p>
        </w:tc>
        <w:tc>
          <w:tcPr>
            <w:tcW w:w="3578" w:type="dxa"/>
          </w:tcPr>
          <w:p w:rsidR="009D4479" w:rsidRDefault="009D4479">
            <w:pPr>
              <w:spacing w:line="120" w:lineRule="exact"/>
              <w:rPr>
                <w:b/>
                <w:bCs/>
                <w:sz w:val="20"/>
                <w:szCs w:val="20"/>
              </w:rPr>
            </w:pPr>
          </w:p>
          <w:p w:rsidR="009D4479" w:rsidRDefault="009D4479">
            <w:pPr>
              <w:spacing w:after="58"/>
              <w:rPr>
                <w:sz w:val="20"/>
                <w:szCs w:val="20"/>
              </w:rPr>
            </w:pPr>
            <w:r>
              <w:rPr>
                <w:sz w:val="20"/>
                <w:szCs w:val="20"/>
              </w:rPr>
              <w:t>Retraining and/or professional development which will benefit the University, the State and the employee.</w:t>
            </w:r>
          </w:p>
        </w:tc>
        <w:tc>
          <w:tcPr>
            <w:tcW w:w="3535" w:type="dxa"/>
          </w:tcPr>
          <w:p w:rsidR="009D4479" w:rsidRDefault="009D4479">
            <w:pPr>
              <w:spacing w:line="120" w:lineRule="exact"/>
              <w:rPr>
                <w:sz w:val="20"/>
                <w:szCs w:val="20"/>
              </w:rPr>
            </w:pPr>
          </w:p>
          <w:p w:rsidR="009D4479" w:rsidRDefault="009D4479">
            <w:pPr>
              <w:spacing w:after="58"/>
              <w:rPr>
                <w:sz w:val="20"/>
                <w:szCs w:val="20"/>
              </w:rPr>
            </w:pPr>
            <w:r>
              <w:rPr>
                <w:sz w:val="20"/>
                <w:szCs w:val="20"/>
              </w:rPr>
              <w:t>Education, research, or temporary employment when such employment will . . . improve the employee professionally and will directly/indirectly benefit institution.</w:t>
            </w:r>
          </w:p>
        </w:tc>
      </w:tr>
      <w:tr w:rsidR="009D4479">
        <w:tblPrEx>
          <w:tblCellMar>
            <w:top w:w="0" w:type="dxa"/>
            <w:bottom w:w="0" w:type="dxa"/>
          </w:tblCellMar>
        </w:tblPrEx>
        <w:trPr>
          <w:jc w:val="center"/>
        </w:trPr>
        <w:tc>
          <w:tcPr>
            <w:tcW w:w="3556" w:type="dxa"/>
            <w:tcBorders>
              <w:right w:val="double" w:sz="7" w:space="0" w:color="000000"/>
            </w:tcBorders>
            <w:shd w:val="pct10" w:color="000000" w:fill="FFFFFF"/>
          </w:tcPr>
          <w:p w:rsidR="009D4479" w:rsidRDefault="009D4479">
            <w:pPr>
              <w:spacing w:line="120" w:lineRule="exact"/>
              <w:rPr>
                <w:sz w:val="20"/>
                <w:szCs w:val="20"/>
              </w:rPr>
            </w:pPr>
          </w:p>
          <w:p w:rsidR="009D4479" w:rsidRDefault="009D4479">
            <w:pPr>
              <w:spacing w:after="58"/>
              <w:rPr>
                <w:b/>
                <w:bCs/>
                <w:sz w:val="20"/>
                <w:szCs w:val="20"/>
              </w:rPr>
            </w:pPr>
            <w:r>
              <w:rPr>
                <w:b/>
                <w:bCs/>
                <w:sz w:val="20"/>
                <w:szCs w:val="20"/>
              </w:rPr>
              <w:t>Approval process:</w:t>
            </w:r>
          </w:p>
        </w:tc>
        <w:tc>
          <w:tcPr>
            <w:tcW w:w="3578" w:type="dxa"/>
          </w:tcPr>
          <w:p w:rsidR="009D4479" w:rsidRDefault="009D4479">
            <w:pPr>
              <w:spacing w:line="120" w:lineRule="exact"/>
              <w:rPr>
                <w:b/>
                <w:bCs/>
                <w:sz w:val="20"/>
                <w:szCs w:val="20"/>
              </w:rPr>
            </w:pPr>
          </w:p>
          <w:p w:rsidR="009D4479" w:rsidRDefault="009D4479">
            <w:pPr>
              <w:spacing w:after="58"/>
              <w:rPr>
                <w:sz w:val="20"/>
                <w:szCs w:val="20"/>
              </w:rPr>
            </w:pPr>
            <w:r>
              <w:rPr>
                <w:sz w:val="20"/>
                <w:szCs w:val="20"/>
              </w:rPr>
              <w:t>Employee completes proposal (see guidelines in Policy 132) and Developmental Leave Agreement and submits to department chair.  After departmental approval, proposal and agreement go to the dean, appropriate vice president(s) and the president for approval.</w:t>
            </w:r>
          </w:p>
        </w:tc>
        <w:tc>
          <w:tcPr>
            <w:tcW w:w="3535" w:type="dxa"/>
          </w:tcPr>
          <w:p w:rsidR="009D4479" w:rsidRDefault="009D4479">
            <w:pPr>
              <w:spacing w:line="120" w:lineRule="exact"/>
              <w:rPr>
                <w:sz w:val="20"/>
                <w:szCs w:val="20"/>
              </w:rPr>
            </w:pPr>
          </w:p>
          <w:p w:rsidR="009D4479" w:rsidRDefault="009D4479">
            <w:pPr>
              <w:spacing w:after="58"/>
              <w:rPr>
                <w:sz w:val="20"/>
                <w:szCs w:val="20"/>
              </w:rPr>
            </w:pPr>
            <w:r>
              <w:rPr>
                <w:sz w:val="20"/>
                <w:szCs w:val="20"/>
              </w:rPr>
              <w:t>Proposals for leave without pay shall be in writing and submitted through appropriate channels for approval.  President is responsible for final approval.</w:t>
            </w:r>
          </w:p>
        </w:tc>
      </w:tr>
      <w:tr w:rsidR="009D4479">
        <w:tblPrEx>
          <w:tblCellMar>
            <w:top w:w="0" w:type="dxa"/>
            <w:bottom w:w="0" w:type="dxa"/>
          </w:tblCellMar>
        </w:tblPrEx>
        <w:trPr>
          <w:jc w:val="center"/>
        </w:trPr>
        <w:tc>
          <w:tcPr>
            <w:tcW w:w="3556" w:type="dxa"/>
            <w:tcBorders>
              <w:right w:val="double" w:sz="7" w:space="0" w:color="000000"/>
            </w:tcBorders>
            <w:shd w:val="pct10" w:color="000000" w:fill="FFFFFF"/>
          </w:tcPr>
          <w:p w:rsidR="009D4479" w:rsidRDefault="009D4479">
            <w:pPr>
              <w:spacing w:line="120" w:lineRule="exact"/>
              <w:rPr>
                <w:sz w:val="20"/>
                <w:szCs w:val="20"/>
              </w:rPr>
            </w:pPr>
          </w:p>
          <w:p w:rsidR="009D4479" w:rsidRDefault="009D4479">
            <w:pPr>
              <w:spacing w:after="58"/>
              <w:rPr>
                <w:b/>
                <w:bCs/>
                <w:sz w:val="20"/>
                <w:szCs w:val="20"/>
              </w:rPr>
            </w:pPr>
            <w:r>
              <w:rPr>
                <w:b/>
                <w:bCs/>
                <w:sz w:val="20"/>
                <w:szCs w:val="20"/>
              </w:rPr>
              <w:t>Timeline for approval:</w:t>
            </w:r>
          </w:p>
        </w:tc>
        <w:tc>
          <w:tcPr>
            <w:tcW w:w="3578" w:type="dxa"/>
          </w:tcPr>
          <w:p w:rsidR="009D4479" w:rsidRDefault="009D4479">
            <w:pPr>
              <w:spacing w:line="120" w:lineRule="exact"/>
              <w:rPr>
                <w:b/>
                <w:bCs/>
                <w:sz w:val="20"/>
                <w:szCs w:val="20"/>
              </w:rPr>
            </w:pPr>
          </w:p>
          <w:p w:rsidR="009D4479" w:rsidRDefault="009D4479">
            <w:pPr>
              <w:spacing w:after="58"/>
              <w:rPr>
                <w:sz w:val="20"/>
                <w:szCs w:val="20"/>
              </w:rPr>
            </w:pPr>
            <w:r>
              <w:rPr>
                <w:sz w:val="20"/>
                <w:szCs w:val="20"/>
              </w:rPr>
              <w:t>Notification to department chair six (6) months prior to start of requested leave and formal request three (3) months prior to start of requested leave.</w:t>
            </w:r>
          </w:p>
        </w:tc>
        <w:tc>
          <w:tcPr>
            <w:tcW w:w="3535" w:type="dxa"/>
          </w:tcPr>
          <w:p w:rsidR="009D4479" w:rsidRDefault="009D4479">
            <w:pPr>
              <w:spacing w:line="120" w:lineRule="exact"/>
              <w:rPr>
                <w:sz w:val="20"/>
                <w:szCs w:val="20"/>
              </w:rPr>
            </w:pPr>
          </w:p>
          <w:p w:rsidR="009D4479" w:rsidRDefault="009D4479">
            <w:pPr>
              <w:spacing w:after="58"/>
              <w:rPr>
                <w:sz w:val="20"/>
                <w:szCs w:val="20"/>
              </w:rPr>
            </w:pPr>
            <w:r>
              <w:rPr>
                <w:sz w:val="20"/>
                <w:szCs w:val="20"/>
              </w:rPr>
              <w:t>Notification to department chair six (6) months prior to start of requested leave and formal request three (3) months prior to start of requested leave.</w:t>
            </w:r>
          </w:p>
        </w:tc>
      </w:tr>
      <w:tr w:rsidR="009D4479">
        <w:tblPrEx>
          <w:tblCellMar>
            <w:top w:w="0" w:type="dxa"/>
            <w:bottom w:w="0" w:type="dxa"/>
          </w:tblCellMar>
        </w:tblPrEx>
        <w:trPr>
          <w:jc w:val="center"/>
        </w:trPr>
        <w:tc>
          <w:tcPr>
            <w:tcW w:w="3556" w:type="dxa"/>
            <w:tcBorders>
              <w:right w:val="double" w:sz="7" w:space="0" w:color="000000"/>
            </w:tcBorders>
            <w:shd w:val="pct10" w:color="000000" w:fill="FFFFFF"/>
          </w:tcPr>
          <w:p w:rsidR="009D4479" w:rsidRDefault="009D4479">
            <w:pPr>
              <w:spacing w:line="120" w:lineRule="exact"/>
              <w:rPr>
                <w:sz w:val="20"/>
                <w:szCs w:val="20"/>
              </w:rPr>
            </w:pPr>
          </w:p>
          <w:p w:rsidR="009D4479" w:rsidRDefault="009D4479">
            <w:pPr>
              <w:rPr>
                <w:b/>
                <w:bCs/>
                <w:sz w:val="20"/>
                <w:szCs w:val="20"/>
              </w:rPr>
            </w:pPr>
          </w:p>
          <w:p w:rsidR="009D4479" w:rsidRDefault="009D4479">
            <w:pPr>
              <w:spacing w:after="58"/>
              <w:rPr>
                <w:b/>
                <w:bCs/>
                <w:sz w:val="20"/>
                <w:szCs w:val="20"/>
              </w:rPr>
            </w:pPr>
            <w:r>
              <w:rPr>
                <w:b/>
                <w:bCs/>
                <w:sz w:val="20"/>
                <w:szCs w:val="20"/>
              </w:rPr>
              <w:t>Salary during leave:</w:t>
            </w:r>
          </w:p>
        </w:tc>
        <w:tc>
          <w:tcPr>
            <w:tcW w:w="3578" w:type="dxa"/>
          </w:tcPr>
          <w:p w:rsidR="009D4479" w:rsidRDefault="009D4479">
            <w:pPr>
              <w:spacing w:line="120" w:lineRule="exact"/>
              <w:rPr>
                <w:b/>
                <w:bCs/>
                <w:sz w:val="20"/>
                <w:szCs w:val="20"/>
              </w:rPr>
            </w:pPr>
          </w:p>
          <w:p w:rsidR="009D4479" w:rsidRDefault="009D4479">
            <w:pPr>
              <w:rPr>
                <w:sz w:val="20"/>
                <w:szCs w:val="20"/>
              </w:rPr>
            </w:pPr>
            <w:r>
              <w:rPr>
                <w:sz w:val="20"/>
                <w:szCs w:val="20"/>
              </w:rPr>
              <w:t>Not normally less than 25% and not more than 75% of base salary;</w:t>
            </w:r>
          </w:p>
          <w:p w:rsidR="009D4479" w:rsidRDefault="009D4479">
            <w:pPr>
              <w:spacing w:after="58"/>
              <w:rPr>
                <w:sz w:val="20"/>
                <w:szCs w:val="20"/>
              </w:rPr>
            </w:pPr>
            <w:r>
              <w:rPr>
                <w:sz w:val="20"/>
                <w:szCs w:val="20"/>
              </w:rPr>
              <w:t>Some exceptions to the 75% limit are specified in Policy 132.</w:t>
            </w:r>
          </w:p>
        </w:tc>
        <w:tc>
          <w:tcPr>
            <w:tcW w:w="3535" w:type="dxa"/>
          </w:tcPr>
          <w:p w:rsidR="009D4479" w:rsidRDefault="009D4479">
            <w:pPr>
              <w:spacing w:line="120" w:lineRule="exact"/>
              <w:rPr>
                <w:sz w:val="20"/>
                <w:szCs w:val="20"/>
              </w:rPr>
            </w:pPr>
          </w:p>
          <w:p w:rsidR="009D4479" w:rsidRDefault="009D4479">
            <w:pPr>
              <w:spacing w:after="58"/>
              <w:rPr>
                <w:sz w:val="20"/>
                <w:szCs w:val="20"/>
              </w:rPr>
            </w:pPr>
            <w:r>
              <w:rPr>
                <w:sz w:val="20"/>
                <w:szCs w:val="20"/>
              </w:rPr>
              <w:t>No salary.</w:t>
            </w:r>
          </w:p>
        </w:tc>
      </w:tr>
      <w:tr w:rsidR="009D4479">
        <w:tblPrEx>
          <w:tblCellMar>
            <w:top w:w="0" w:type="dxa"/>
            <w:bottom w:w="0" w:type="dxa"/>
          </w:tblCellMar>
        </w:tblPrEx>
        <w:trPr>
          <w:jc w:val="center"/>
        </w:trPr>
        <w:tc>
          <w:tcPr>
            <w:tcW w:w="3556" w:type="dxa"/>
            <w:tcBorders>
              <w:right w:val="double" w:sz="7" w:space="0" w:color="000000"/>
            </w:tcBorders>
            <w:shd w:val="pct10" w:color="000000" w:fill="FFFFFF"/>
          </w:tcPr>
          <w:p w:rsidR="009D4479" w:rsidRDefault="009D4479">
            <w:pPr>
              <w:spacing w:line="120" w:lineRule="exact"/>
              <w:rPr>
                <w:sz w:val="20"/>
                <w:szCs w:val="20"/>
              </w:rPr>
            </w:pPr>
          </w:p>
          <w:p w:rsidR="009D4479" w:rsidRDefault="009D4479">
            <w:pPr>
              <w:spacing w:after="58"/>
              <w:rPr>
                <w:b/>
                <w:bCs/>
                <w:sz w:val="20"/>
                <w:szCs w:val="20"/>
              </w:rPr>
            </w:pPr>
            <w:r>
              <w:rPr>
                <w:b/>
                <w:bCs/>
                <w:sz w:val="20"/>
                <w:szCs w:val="20"/>
              </w:rPr>
              <w:t>Benefits during leave:</w:t>
            </w:r>
          </w:p>
        </w:tc>
        <w:tc>
          <w:tcPr>
            <w:tcW w:w="3578" w:type="dxa"/>
          </w:tcPr>
          <w:p w:rsidR="009D4479" w:rsidRDefault="009D4479">
            <w:pPr>
              <w:spacing w:line="120" w:lineRule="exact"/>
              <w:rPr>
                <w:b/>
                <w:bCs/>
                <w:sz w:val="20"/>
                <w:szCs w:val="20"/>
              </w:rPr>
            </w:pPr>
          </w:p>
          <w:p w:rsidR="009D4479" w:rsidRDefault="009D4479">
            <w:pPr>
              <w:rPr>
                <w:sz w:val="20"/>
                <w:szCs w:val="20"/>
              </w:rPr>
            </w:pPr>
            <w:r>
              <w:rPr>
                <w:sz w:val="20"/>
                <w:szCs w:val="20"/>
              </w:rPr>
              <w:t>There is no annual or sick leave accumulation during the developmental leave period.</w:t>
            </w:r>
          </w:p>
          <w:p w:rsidR="009D4479" w:rsidRDefault="009D4479">
            <w:pPr>
              <w:spacing w:after="58"/>
              <w:rPr>
                <w:sz w:val="20"/>
                <w:szCs w:val="20"/>
              </w:rPr>
            </w:pPr>
            <w:r>
              <w:rPr>
                <w:sz w:val="20"/>
                <w:szCs w:val="20"/>
              </w:rPr>
              <w:t>University continues to provide fringe benefits</w:t>
            </w:r>
            <w:r>
              <w:rPr>
                <w:i/>
                <w:iCs/>
                <w:sz w:val="20"/>
                <w:szCs w:val="20"/>
              </w:rPr>
              <w:t xml:space="preserve">. </w:t>
            </w:r>
            <w:r>
              <w:rPr>
                <w:sz w:val="20"/>
                <w:szCs w:val="20"/>
              </w:rPr>
              <w:t xml:space="preserve"> (Retirement contributions, however, will be made as a proportion of the actual stipend, not the FT contract salary.)</w:t>
            </w:r>
          </w:p>
        </w:tc>
        <w:tc>
          <w:tcPr>
            <w:tcW w:w="3535" w:type="dxa"/>
          </w:tcPr>
          <w:p w:rsidR="009D4479" w:rsidRDefault="009D4479">
            <w:pPr>
              <w:spacing w:line="120" w:lineRule="exact"/>
              <w:rPr>
                <w:sz w:val="20"/>
                <w:szCs w:val="20"/>
              </w:rPr>
            </w:pPr>
          </w:p>
          <w:p w:rsidR="009D4479" w:rsidRDefault="009D4479">
            <w:pPr>
              <w:rPr>
                <w:sz w:val="20"/>
                <w:szCs w:val="20"/>
              </w:rPr>
            </w:pPr>
            <w:r>
              <w:rPr>
                <w:sz w:val="20"/>
                <w:szCs w:val="20"/>
              </w:rPr>
              <w:t xml:space="preserve">University does not cover benefits during a leave without pay.  Employee may continue coverage for </w:t>
            </w:r>
            <w:proofErr w:type="gramStart"/>
            <w:r>
              <w:rPr>
                <w:sz w:val="20"/>
                <w:szCs w:val="20"/>
              </w:rPr>
              <w:t>health,</w:t>
            </w:r>
            <w:proofErr w:type="gramEnd"/>
            <w:r>
              <w:rPr>
                <w:sz w:val="20"/>
                <w:szCs w:val="20"/>
              </w:rPr>
              <w:t xml:space="preserve"> life and/or disability by remitting appropriate premiums (make arrangements through the Benefits Coordinator in Human Resources).</w:t>
            </w:r>
          </w:p>
          <w:p w:rsidR="009D4479" w:rsidRDefault="009D4479">
            <w:pPr>
              <w:spacing w:after="58"/>
              <w:rPr>
                <w:sz w:val="20"/>
                <w:szCs w:val="20"/>
              </w:rPr>
            </w:pPr>
            <w:r>
              <w:rPr>
                <w:sz w:val="20"/>
                <w:szCs w:val="20"/>
              </w:rPr>
              <w:t>There is no annual or sick leave accumulation during the period of the leave without pay.</w:t>
            </w:r>
          </w:p>
        </w:tc>
      </w:tr>
      <w:tr w:rsidR="009D4479">
        <w:tblPrEx>
          <w:tblCellMar>
            <w:top w:w="0" w:type="dxa"/>
            <w:bottom w:w="0" w:type="dxa"/>
          </w:tblCellMar>
        </w:tblPrEx>
        <w:trPr>
          <w:jc w:val="center"/>
        </w:trPr>
        <w:tc>
          <w:tcPr>
            <w:tcW w:w="3556" w:type="dxa"/>
            <w:tcBorders>
              <w:right w:val="double" w:sz="7" w:space="0" w:color="000000"/>
            </w:tcBorders>
            <w:shd w:val="pct10" w:color="000000" w:fill="FFFFFF"/>
          </w:tcPr>
          <w:p w:rsidR="009D4479" w:rsidRDefault="009D4479">
            <w:pPr>
              <w:spacing w:line="120" w:lineRule="exact"/>
              <w:rPr>
                <w:sz w:val="20"/>
                <w:szCs w:val="20"/>
              </w:rPr>
            </w:pPr>
          </w:p>
          <w:p w:rsidR="009D4479" w:rsidRDefault="009D4479">
            <w:pPr>
              <w:spacing w:after="58"/>
              <w:rPr>
                <w:b/>
                <w:bCs/>
                <w:sz w:val="20"/>
                <w:szCs w:val="20"/>
              </w:rPr>
            </w:pPr>
            <w:r>
              <w:rPr>
                <w:b/>
                <w:bCs/>
                <w:sz w:val="20"/>
                <w:szCs w:val="20"/>
              </w:rPr>
              <w:t>Expectations for return to employment at NDSU:</w:t>
            </w:r>
          </w:p>
        </w:tc>
        <w:tc>
          <w:tcPr>
            <w:tcW w:w="3578" w:type="dxa"/>
          </w:tcPr>
          <w:p w:rsidR="009D4479" w:rsidRDefault="009D4479">
            <w:pPr>
              <w:spacing w:line="120" w:lineRule="exact"/>
              <w:rPr>
                <w:b/>
                <w:bCs/>
                <w:sz w:val="20"/>
                <w:szCs w:val="20"/>
              </w:rPr>
            </w:pPr>
          </w:p>
          <w:p w:rsidR="009D4479" w:rsidRDefault="009D4479">
            <w:pPr>
              <w:spacing w:after="58"/>
              <w:rPr>
                <w:sz w:val="20"/>
                <w:szCs w:val="20"/>
              </w:rPr>
            </w:pPr>
            <w:r>
              <w:rPr>
                <w:sz w:val="20"/>
                <w:szCs w:val="20"/>
              </w:rPr>
              <w:t xml:space="preserve">The individual presents a signed agreement to return to the University upon completion of the leave for a period of time at least equal to the leave time or refund the institution's stipend payments. </w:t>
            </w:r>
          </w:p>
        </w:tc>
        <w:tc>
          <w:tcPr>
            <w:tcW w:w="3535" w:type="dxa"/>
          </w:tcPr>
          <w:p w:rsidR="009D4479" w:rsidRDefault="009D4479">
            <w:pPr>
              <w:spacing w:line="120" w:lineRule="exact"/>
              <w:rPr>
                <w:sz w:val="20"/>
                <w:szCs w:val="20"/>
              </w:rPr>
            </w:pPr>
          </w:p>
          <w:p w:rsidR="009D4479" w:rsidRDefault="009D4479">
            <w:pPr>
              <w:spacing w:after="58"/>
              <w:rPr>
                <w:sz w:val="20"/>
                <w:szCs w:val="20"/>
              </w:rPr>
            </w:pPr>
            <w:r>
              <w:rPr>
                <w:sz w:val="20"/>
                <w:szCs w:val="20"/>
              </w:rPr>
              <w:t xml:space="preserve">Employee must provide, in writing, a specific date by which to indicate either </w:t>
            </w:r>
            <w:proofErr w:type="gramStart"/>
            <w:r>
              <w:rPr>
                <w:sz w:val="20"/>
                <w:szCs w:val="20"/>
              </w:rPr>
              <w:t>a  resignation</w:t>
            </w:r>
            <w:proofErr w:type="gramEnd"/>
            <w:r>
              <w:rPr>
                <w:sz w:val="20"/>
                <w:szCs w:val="20"/>
              </w:rPr>
              <w:t xml:space="preserve"> or the intent to return to NDSU prior to approval of the proposal.</w:t>
            </w:r>
          </w:p>
        </w:tc>
      </w:tr>
      <w:tr w:rsidR="009D4479">
        <w:tblPrEx>
          <w:tblCellMar>
            <w:top w:w="0" w:type="dxa"/>
            <w:bottom w:w="0" w:type="dxa"/>
          </w:tblCellMar>
        </w:tblPrEx>
        <w:trPr>
          <w:jc w:val="center"/>
        </w:trPr>
        <w:tc>
          <w:tcPr>
            <w:tcW w:w="3556" w:type="dxa"/>
            <w:tcBorders>
              <w:right w:val="double" w:sz="7" w:space="0" w:color="000000"/>
            </w:tcBorders>
            <w:shd w:val="pct10" w:color="000000" w:fill="FFFFFF"/>
          </w:tcPr>
          <w:p w:rsidR="009D4479" w:rsidRDefault="009D4479">
            <w:pPr>
              <w:spacing w:line="120" w:lineRule="exact"/>
              <w:rPr>
                <w:sz w:val="20"/>
                <w:szCs w:val="20"/>
              </w:rPr>
            </w:pPr>
          </w:p>
          <w:p w:rsidR="009D4479" w:rsidRDefault="009D4479">
            <w:pPr>
              <w:spacing w:after="58"/>
              <w:rPr>
                <w:b/>
                <w:bCs/>
                <w:sz w:val="20"/>
                <w:szCs w:val="20"/>
              </w:rPr>
            </w:pPr>
            <w:r>
              <w:rPr>
                <w:b/>
                <w:bCs/>
                <w:sz w:val="20"/>
                <w:szCs w:val="20"/>
              </w:rPr>
              <w:t>Leave period:</w:t>
            </w:r>
          </w:p>
        </w:tc>
        <w:tc>
          <w:tcPr>
            <w:tcW w:w="3578" w:type="dxa"/>
          </w:tcPr>
          <w:p w:rsidR="009D4479" w:rsidRDefault="009D4479">
            <w:pPr>
              <w:spacing w:line="120" w:lineRule="exact"/>
              <w:rPr>
                <w:b/>
                <w:bCs/>
                <w:sz w:val="20"/>
                <w:szCs w:val="20"/>
              </w:rPr>
            </w:pPr>
          </w:p>
          <w:p w:rsidR="009D4479" w:rsidRDefault="009D4479">
            <w:pPr>
              <w:spacing w:after="58"/>
              <w:rPr>
                <w:sz w:val="20"/>
                <w:szCs w:val="20"/>
              </w:rPr>
            </w:pPr>
            <w:r>
              <w:rPr>
                <w:sz w:val="20"/>
                <w:szCs w:val="20"/>
              </w:rPr>
              <w:t>Not to exceed 12 months.</w:t>
            </w:r>
          </w:p>
        </w:tc>
        <w:tc>
          <w:tcPr>
            <w:tcW w:w="3535" w:type="dxa"/>
          </w:tcPr>
          <w:p w:rsidR="009D4479" w:rsidRDefault="009D4479">
            <w:pPr>
              <w:spacing w:line="120" w:lineRule="exact"/>
              <w:rPr>
                <w:sz w:val="20"/>
                <w:szCs w:val="20"/>
              </w:rPr>
            </w:pPr>
          </w:p>
          <w:p w:rsidR="009D4479" w:rsidRDefault="009D4479">
            <w:pPr>
              <w:spacing w:after="58"/>
              <w:rPr>
                <w:sz w:val="20"/>
                <w:szCs w:val="20"/>
              </w:rPr>
            </w:pPr>
            <w:r>
              <w:rPr>
                <w:sz w:val="20"/>
                <w:szCs w:val="20"/>
              </w:rPr>
              <w:t>Generally, not to exceed 2 years.</w:t>
            </w:r>
          </w:p>
        </w:tc>
      </w:tr>
      <w:tr w:rsidR="009D4479">
        <w:tblPrEx>
          <w:tblCellMar>
            <w:top w:w="0" w:type="dxa"/>
            <w:bottom w:w="0" w:type="dxa"/>
          </w:tblCellMar>
        </w:tblPrEx>
        <w:trPr>
          <w:jc w:val="center"/>
        </w:trPr>
        <w:tc>
          <w:tcPr>
            <w:tcW w:w="3556" w:type="dxa"/>
            <w:tcBorders>
              <w:right w:val="double" w:sz="7" w:space="0" w:color="000000"/>
            </w:tcBorders>
            <w:shd w:val="pct10" w:color="000000" w:fill="FFFFFF"/>
          </w:tcPr>
          <w:p w:rsidR="009D4479" w:rsidRDefault="009D4479">
            <w:pPr>
              <w:spacing w:line="120" w:lineRule="exact"/>
              <w:rPr>
                <w:sz w:val="20"/>
                <w:szCs w:val="20"/>
              </w:rPr>
            </w:pPr>
          </w:p>
          <w:p w:rsidR="009D4479" w:rsidRDefault="009D4479">
            <w:pPr>
              <w:spacing w:after="58"/>
              <w:rPr>
                <w:b/>
                <w:bCs/>
                <w:sz w:val="20"/>
                <w:szCs w:val="20"/>
              </w:rPr>
            </w:pPr>
            <w:r>
              <w:rPr>
                <w:b/>
                <w:bCs/>
                <w:sz w:val="20"/>
                <w:szCs w:val="20"/>
              </w:rPr>
              <w:t>Coverage of individual's responsibilities during leave:</w:t>
            </w:r>
          </w:p>
        </w:tc>
        <w:tc>
          <w:tcPr>
            <w:tcW w:w="3578" w:type="dxa"/>
          </w:tcPr>
          <w:p w:rsidR="009D4479" w:rsidRDefault="009D4479">
            <w:pPr>
              <w:spacing w:line="120" w:lineRule="exact"/>
              <w:rPr>
                <w:b/>
                <w:bCs/>
                <w:sz w:val="20"/>
                <w:szCs w:val="20"/>
              </w:rPr>
            </w:pPr>
          </w:p>
          <w:p w:rsidR="009D4479" w:rsidRDefault="009D4479">
            <w:pPr>
              <w:spacing w:after="58"/>
              <w:rPr>
                <w:sz w:val="20"/>
                <w:szCs w:val="20"/>
              </w:rPr>
            </w:pPr>
            <w:r>
              <w:rPr>
                <w:sz w:val="20"/>
                <w:szCs w:val="20"/>
              </w:rPr>
              <w:t>Individual's workload is to be absorbed within existing staff resource allocations.  Any salary savings may be available along with departmental pool money.</w:t>
            </w:r>
          </w:p>
        </w:tc>
        <w:tc>
          <w:tcPr>
            <w:tcW w:w="3535" w:type="dxa"/>
          </w:tcPr>
          <w:p w:rsidR="009D4479" w:rsidRDefault="009D4479">
            <w:pPr>
              <w:spacing w:line="120" w:lineRule="exact"/>
              <w:rPr>
                <w:sz w:val="20"/>
                <w:szCs w:val="20"/>
              </w:rPr>
            </w:pPr>
          </w:p>
          <w:p w:rsidR="009D4479" w:rsidRDefault="009D4479">
            <w:pPr>
              <w:spacing w:after="58"/>
              <w:rPr>
                <w:sz w:val="20"/>
                <w:szCs w:val="20"/>
              </w:rPr>
            </w:pPr>
            <w:r>
              <w:rPr>
                <w:sz w:val="20"/>
                <w:szCs w:val="20"/>
              </w:rPr>
              <w:t>Salary savings may be available.</w:t>
            </w:r>
          </w:p>
        </w:tc>
      </w:tr>
      <w:tr w:rsidR="009D4479">
        <w:tblPrEx>
          <w:tblCellMar>
            <w:top w:w="0" w:type="dxa"/>
            <w:bottom w:w="0" w:type="dxa"/>
          </w:tblCellMar>
        </w:tblPrEx>
        <w:trPr>
          <w:jc w:val="center"/>
        </w:trPr>
        <w:tc>
          <w:tcPr>
            <w:tcW w:w="3556" w:type="dxa"/>
            <w:tcBorders>
              <w:bottom w:val="double" w:sz="7" w:space="0" w:color="000000"/>
              <w:right w:val="double" w:sz="7" w:space="0" w:color="000000"/>
            </w:tcBorders>
            <w:shd w:val="pct10" w:color="000000" w:fill="FFFFFF"/>
          </w:tcPr>
          <w:p w:rsidR="009D4479" w:rsidRDefault="009D4479">
            <w:pPr>
              <w:spacing w:line="120" w:lineRule="exact"/>
              <w:rPr>
                <w:sz w:val="20"/>
                <w:szCs w:val="20"/>
              </w:rPr>
            </w:pPr>
          </w:p>
          <w:p w:rsidR="009D4479" w:rsidRDefault="009D4479">
            <w:pPr>
              <w:spacing w:after="58"/>
              <w:rPr>
                <w:b/>
                <w:bCs/>
                <w:sz w:val="20"/>
                <w:szCs w:val="20"/>
              </w:rPr>
            </w:pPr>
            <w:r>
              <w:rPr>
                <w:b/>
                <w:bCs/>
                <w:sz w:val="20"/>
                <w:szCs w:val="20"/>
              </w:rPr>
              <w:t>Effect on tenure review:</w:t>
            </w:r>
          </w:p>
        </w:tc>
        <w:tc>
          <w:tcPr>
            <w:tcW w:w="3578" w:type="dxa"/>
            <w:tcBorders>
              <w:bottom w:val="double" w:sz="7" w:space="0" w:color="000000"/>
            </w:tcBorders>
          </w:tcPr>
          <w:p w:rsidR="009D4479" w:rsidRDefault="009D4479">
            <w:pPr>
              <w:spacing w:line="120" w:lineRule="exact"/>
              <w:rPr>
                <w:b/>
                <w:bCs/>
                <w:sz w:val="20"/>
                <w:szCs w:val="20"/>
              </w:rPr>
            </w:pPr>
          </w:p>
          <w:p w:rsidR="009D4479" w:rsidRDefault="009D4479">
            <w:pPr>
              <w:spacing w:after="58"/>
              <w:rPr>
                <w:sz w:val="20"/>
                <w:szCs w:val="20"/>
              </w:rPr>
            </w:pPr>
            <w:r>
              <w:rPr>
                <w:sz w:val="20"/>
                <w:szCs w:val="20"/>
              </w:rPr>
              <w:t>Negotiated as part of leave agreement.</w:t>
            </w:r>
          </w:p>
        </w:tc>
        <w:tc>
          <w:tcPr>
            <w:tcW w:w="3535" w:type="dxa"/>
            <w:tcBorders>
              <w:bottom w:val="double" w:sz="7" w:space="0" w:color="000000"/>
            </w:tcBorders>
          </w:tcPr>
          <w:p w:rsidR="009D4479" w:rsidRDefault="009D4479">
            <w:pPr>
              <w:spacing w:line="120" w:lineRule="exact"/>
              <w:rPr>
                <w:sz w:val="20"/>
                <w:szCs w:val="20"/>
              </w:rPr>
            </w:pPr>
          </w:p>
          <w:p w:rsidR="009D4479" w:rsidRDefault="009D4479">
            <w:pPr>
              <w:spacing w:after="58"/>
              <w:rPr>
                <w:sz w:val="20"/>
                <w:szCs w:val="20"/>
              </w:rPr>
            </w:pPr>
            <w:r>
              <w:rPr>
                <w:sz w:val="20"/>
                <w:szCs w:val="20"/>
              </w:rPr>
              <w:t>Negotiated as part of leave agreement.</w:t>
            </w:r>
          </w:p>
        </w:tc>
      </w:tr>
    </w:tbl>
    <w:p w:rsidR="009D4479" w:rsidRDefault="009D4479">
      <w:pPr>
        <w:rPr>
          <w:sz w:val="20"/>
          <w:szCs w:val="20"/>
        </w:rPr>
      </w:pPr>
    </w:p>
    <w:p w:rsidR="009D4479" w:rsidRDefault="009D4479">
      <w:pPr>
        <w:tabs>
          <w:tab w:val="right" w:pos="10800"/>
        </w:tabs>
        <w:rPr>
          <w:sz w:val="20"/>
          <w:szCs w:val="20"/>
        </w:rPr>
      </w:pPr>
      <w:r>
        <w:rPr>
          <w:sz w:val="20"/>
          <w:szCs w:val="20"/>
        </w:rPr>
        <w:t>* Neither of these leaves constitutes an employee right.</w:t>
      </w:r>
      <w:r>
        <w:rPr>
          <w:sz w:val="20"/>
          <w:szCs w:val="20"/>
        </w:rPr>
        <w:tab/>
      </w:r>
      <w:r>
        <w:rPr>
          <w:sz w:val="14"/>
          <w:szCs w:val="14"/>
        </w:rPr>
        <w:fldChar w:fldCharType="begin"/>
      </w:r>
      <w:r>
        <w:rPr>
          <w:sz w:val="14"/>
          <w:szCs w:val="14"/>
        </w:rPr>
        <w:instrText xml:space="preserve">FILENAME  \* upper \p </w:instrText>
      </w:r>
      <w:r>
        <w:rPr>
          <w:sz w:val="14"/>
          <w:szCs w:val="14"/>
        </w:rPr>
        <w:fldChar w:fldCharType="separate"/>
      </w:r>
      <w:r w:rsidR="00D55E2B">
        <w:rPr>
          <w:noProof/>
          <w:sz w:val="14"/>
          <w:szCs w:val="14"/>
        </w:rPr>
        <w:t>S:\VPAA\SHARED\VPAA WEBSITE\FORMS\LVCOMP.WPD</w:t>
      </w:r>
      <w:r>
        <w:rPr>
          <w:sz w:val="14"/>
          <w:szCs w:val="14"/>
        </w:rPr>
        <w:fldChar w:fldCharType="end"/>
      </w:r>
    </w:p>
    <w:p w:rsidR="009D4479" w:rsidRDefault="009D4479">
      <w:pPr>
        <w:jc w:val="right"/>
        <w:rPr>
          <w:sz w:val="20"/>
          <w:szCs w:val="20"/>
        </w:rPr>
      </w:pPr>
      <w:r>
        <w:rPr>
          <w:sz w:val="10"/>
          <w:szCs w:val="10"/>
        </w:rPr>
        <w:t>Revised 11/29/99</w:t>
      </w:r>
    </w:p>
    <w:sectPr w:rsidR="009D4479" w:rsidSect="009D4479">
      <w:pgSz w:w="12240" w:h="15840"/>
      <w:pgMar w:top="576" w:right="720" w:bottom="432" w:left="720" w:header="576" w:footer="432"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479"/>
    <w:rsid w:val="009D4479"/>
    <w:rsid w:val="00A64434"/>
    <w:rsid w:val="00D55E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2692</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melissa.lamp</dc:creator>
  <cp:keywords/>
  <dc:description/>
  <cp:lastModifiedBy>melissa.lamp</cp:lastModifiedBy>
  <cp:revision>3</cp:revision>
  <dcterms:created xsi:type="dcterms:W3CDTF">2008-10-13T15:30:00Z</dcterms:created>
  <dcterms:modified xsi:type="dcterms:W3CDTF">2008-10-13T15:30:00Z</dcterms:modified>
</cp:coreProperties>
</file>