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620AE8">
      <w:pPr>
        <w:pStyle w:val="Heading1"/>
      </w:pPr>
      <w:r w:rsidRPr="00BB59B9">
        <w:t xml:space="preserve">Graduate Council </w:t>
      </w:r>
      <w:r w:rsidR="00554276" w:rsidRPr="00BB59B9">
        <w:t>Meeting Minutes</w:t>
      </w:r>
    </w:p>
    <w:p w:rsidR="00554276" w:rsidRPr="00BB59B9" w:rsidRDefault="00105E78" w:rsidP="00B75CFC">
      <w:pPr>
        <w:pStyle w:val="Date"/>
        <w:rPr>
          <w:rFonts w:ascii="Arial" w:hAnsi="Arial" w:cs="Arial"/>
        </w:rPr>
      </w:pPr>
      <w:r>
        <w:rPr>
          <w:rFonts w:ascii="Arial" w:hAnsi="Arial" w:cs="Arial"/>
        </w:rPr>
        <w:t>September 14, 2011</w:t>
      </w:r>
    </w:p>
    <w:p w:rsidR="00BB59B9" w:rsidRPr="00BB59B9" w:rsidRDefault="00BB59B9" w:rsidP="00BB59B9">
      <w:pPr>
        <w:rPr>
          <w:rFonts w:ascii="Arial" w:hAnsi="Arial" w:cs="Arial"/>
        </w:rPr>
      </w:pPr>
    </w:p>
    <w:p w:rsidR="00BB59B9" w:rsidRPr="00BB59B9" w:rsidRDefault="00BB59B9" w:rsidP="00BB59B9">
      <w:pPr>
        <w:ind w:left="90"/>
        <w:rPr>
          <w:rFonts w:ascii="Arial" w:hAnsi="Arial" w:cs="Arial"/>
        </w:rPr>
      </w:pPr>
      <w:r w:rsidRPr="00BB59B9">
        <w:rPr>
          <w:rFonts w:ascii="Arial" w:hAnsi="Arial" w:cs="Arial"/>
        </w:rPr>
        <w:t xml:space="preserve">Attending: </w:t>
      </w:r>
      <w:r w:rsidRPr="008938D5">
        <w:rPr>
          <w:rFonts w:ascii="Arial" w:hAnsi="Arial" w:cs="Arial"/>
        </w:rPr>
        <w:tab/>
      </w:r>
      <w:r w:rsidR="008938D5" w:rsidRPr="008938D5">
        <w:rPr>
          <w:rFonts w:ascii="Arial" w:hAnsi="Arial" w:cs="Arial"/>
        </w:rPr>
        <w:t xml:space="preserve">Robert Gordon, </w:t>
      </w:r>
      <w:r w:rsidR="00E11A0A">
        <w:rPr>
          <w:rFonts w:ascii="Arial" w:hAnsi="Arial" w:cs="Arial"/>
        </w:rPr>
        <w:t xml:space="preserve">Kendra Erickson, </w:t>
      </w:r>
      <w:r w:rsidR="00BE1B35" w:rsidRPr="008938D5">
        <w:rPr>
          <w:rFonts w:ascii="Arial" w:hAnsi="Arial" w:cs="Arial"/>
        </w:rPr>
        <w:t>Karen Froelich,</w:t>
      </w:r>
      <w:r w:rsidR="0069543B" w:rsidRPr="008938D5">
        <w:rPr>
          <w:rFonts w:ascii="Arial" w:hAnsi="Arial" w:cs="Arial"/>
        </w:rPr>
        <w:t xml:space="preserve"> </w:t>
      </w:r>
      <w:r w:rsidR="00DA2FC4" w:rsidRPr="008938D5">
        <w:rPr>
          <w:rFonts w:ascii="Arial" w:hAnsi="Arial" w:cs="Arial"/>
        </w:rPr>
        <w:t xml:space="preserve">Robert Littlefield, </w:t>
      </w:r>
      <w:r w:rsidR="0069543B" w:rsidRPr="008938D5">
        <w:rPr>
          <w:rFonts w:ascii="Arial" w:hAnsi="Arial" w:cs="Arial"/>
        </w:rPr>
        <w:t>Robert Nielsen,</w:t>
      </w:r>
      <w:r w:rsidR="00BE1B35" w:rsidRPr="008938D5">
        <w:rPr>
          <w:rFonts w:ascii="Arial" w:hAnsi="Arial" w:cs="Arial"/>
        </w:rPr>
        <w:t xml:space="preserve"> </w:t>
      </w:r>
      <w:r w:rsidR="008938D5" w:rsidRPr="008938D5">
        <w:rPr>
          <w:rFonts w:ascii="Arial" w:hAnsi="Arial" w:cs="Arial"/>
        </w:rPr>
        <w:t xml:space="preserve">Birgit Pruess, Courtney Simon, Yildirim Suzen, Donna Terbizan, </w:t>
      </w:r>
      <w:r w:rsidR="00E11A0A">
        <w:rPr>
          <w:rFonts w:ascii="Arial" w:hAnsi="Arial" w:cs="Arial"/>
        </w:rPr>
        <w:t xml:space="preserve">Kim Vonnahme, </w:t>
      </w:r>
      <w:r w:rsidR="008938D5" w:rsidRPr="008938D5">
        <w:rPr>
          <w:rFonts w:ascii="Arial" w:hAnsi="Arial" w:cs="Arial"/>
        </w:rPr>
        <w:t>Mary Wright</w:t>
      </w:r>
    </w:p>
    <w:p w:rsidR="00CB0890" w:rsidRDefault="00CB0890" w:rsidP="00CB0890">
      <w:pPr>
        <w:pStyle w:val="ListNumber"/>
        <w:numPr>
          <w:ilvl w:val="0"/>
          <w:numId w:val="0"/>
        </w:numPr>
        <w:spacing w:before="0" w:after="0"/>
        <w:rPr>
          <w:rFonts w:ascii="Arial" w:hAnsi="Arial" w:cs="Arial"/>
        </w:rPr>
      </w:pPr>
    </w:p>
    <w:p w:rsidR="00554276" w:rsidRPr="00BB59B9" w:rsidRDefault="0015180F" w:rsidP="00CB0890">
      <w:pPr>
        <w:pStyle w:val="ListNumber"/>
        <w:numPr>
          <w:ilvl w:val="0"/>
          <w:numId w:val="0"/>
        </w:numPr>
        <w:spacing w:before="0" w:after="0"/>
        <w:rPr>
          <w:rFonts w:ascii="Arial" w:hAnsi="Arial" w:cs="Arial"/>
        </w:rPr>
      </w:pPr>
      <w:r w:rsidRPr="00BB59B9">
        <w:rPr>
          <w:rFonts w:ascii="Arial" w:hAnsi="Arial" w:cs="Arial"/>
        </w:rPr>
        <w:t>Call to order</w:t>
      </w:r>
    </w:p>
    <w:p w:rsidR="00BB59B9" w:rsidRDefault="008938D5" w:rsidP="00CB0890">
      <w:pPr>
        <w:pStyle w:val="BodyText2"/>
        <w:ind w:left="0"/>
        <w:rPr>
          <w:rFonts w:ascii="Arial" w:hAnsi="Arial" w:cs="Arial"/>
        </w:rPr>
      </w:pPr>
      <w:r>
        <w:rPr>
          <w:rFonts w:ascii="Arial" w:hAnsi="Arial" w:cs="Arial"/>
        </w:rPr>
        <w:t xml:space="preserve">Dr. Wittrock called the meeting to order at 1p.m. </w:t>
      </w:r>
    </w:p>
    <w:p w:rsidR="0069543B" w:rsidRDefault="0069543B" w:rsidP="00CB0890">
      <w:pPr>
        <w:pStyle w:val="BodyText2"/>
        <w:ind w:left="0"/>
        <w:rPr>
          <w:rFonts w:ascii="Arial" w:hAnsi="Arial" w:cs="Arial"/>
        </w:rPr>
      </w:pPr>
    </w:p>
    <w:p w:rsidR="0069543B" w:rsidRPr="0069543B" w:rsidRDefault="0069543B" w:rsidP="00CB0890">
      <w:pPr>
        <w:pStyle w:val="BodyText2"/>
        <w:ind w:left="0"/>
        <w:rPr>
          <w:rFonts w:ascii="Arial" w:hAnsi="Arial" w:cs="Arial"/>
          <w:b/>
          <w:u w:val="single"/>
        </w:rPr>
      </w:pPr>
      <w:r w:rsidRPr="0069543B">
        <w:rPr>
          <w:rFonts w:ascii="Arial" w:hAnsi="Arial" w:cs="Arial"/>
          <w:b/>
          <w:u w:val="single"/>
        </w:rPr>
        <w:t xml:space="preserve">May </w:t>
      </w:r>
      <w:r w:rsidR="008938D5">
        <w:rPr>
          <w:rFonts w:ascii="Arial" w:hAnsi="Arial" w:cs="Arial"/>
          <w:b/>
          <w:u w:val="single"/>
        </w:rPr>
        <w:t>9</w:t>
      </w:r>
      <w:r w:rsidRPr="0069543B">
        <w:rPr>
          <w:rFonts w:ascii="Arial" w:hAnsi="Arial" w:cs="Arial"/>
          <w:b/>
          <w:u w:val="single"/>
        </w:rPr>
        <w:t>, 201</w:t>
      </w:r>
      <w:r w:rsidR="008938D5">
        <w:rPr>
          <w:rFonts w:ascii="Arial" w:hAnsi="Arial" w:cs="Arial"/>
          <w:b/>
          <w:u w:val="single"/>
        </w:rPr>
        <w:t>1</w:t>
      </w:r>
      <w:r w:rsidRPr="0069543B">
        <w:rPr>
          <w:rFonts w:ascii="Arial" w:hAnsi="Arial" w:cs="Arial"/>
          <w:b/>
          <w:u w:val="single"/>
        </w:rPr>
        <w:t xml:space="preserve"> Minutes</w:t>
      </w:r>
    </w:p>
    <w:p w:rsidR="0069543B" w:rsidRPr="00BB59B9" w:rsidRDefault="00E11A0A" w:rsidP="00CB0890">
      <w:pPr>
        <w:pStyle w:val="BodyText2"/>
        <w:ind w:left="0"/>
        <w:rPr>
          <w:rFonts w:ascii="Arial" w:hAnsi="Arial" w:cs="Arial"/>
        </w:rPr>
      </w:pPr>
      <w:r>
        <w:rPr>
          <w:rFonts w:ascii="Arial" w:hAnsi="Arial" w:cs="Arial"/>
        </w:rPr>
        <w:t xml:space="preserve">Donna Terbizan </w:t>
      </w:r>
      <w:r w:rsidR="0069543B">
        <w:rPr>
          <w:rFonts w:ascii="Arial" w:hAnsi="Arial" w:cs="Arial"/>
        </w:rPr>
        <w:t xml:space="preserve">made a motion to approve the </w:t>
      </w:r>
      <w:r>
        <w:rPr>
          <w:rFonts w:ascii="Arial" w:hAnsi="Arial" w:cs="Arial"/>
        </w:rPr>
        <w:t>August 24</w:t>
      </w:r>
      <w:r w:rsidR="0069543B">
        <w:rPr>
          <w:rFonts w:ascii="Arial" w:hAnsi="Arial" w:cs="Arial"/>
        </w:rPr>
        <w:t>, 201</w:t>
      </w:r>
      <w:r w:rsidR="008938D5">
        <w:rPr>
          <w:rFonts w:ascii="Arial" w:hAnsi="Arial" w:cs="Arial"/>
        </w:rPr>
        <w:t>1</w:t>
      </w:r>
      <w:r w:rsidR="0069543B">
        <w:rPr>
          <w:rFonts w:ascii="Arial" w:hAnsi="Arial" w:cs="Arial"/>
        </w:rPr>
        <w:t xml:space="preserve"> meeting minutes. </w:t>
      </w:r>
      <w:r>
        <w:rPr>
          <w:rFonts w:ascii="Arial" w:hAnsi="Arial" w:cs="Arial"/>
        </w:rPr>
        <w:t xml:space="preserve">Birgit Pruess </w:t>
      </w:r>
      <w:r w:rsidR="0069543B">
        <w:rPr>
          <w:rFonts w:ascii="Arial" w:hAnsi="Arial" w:cs="Arial"/>
        </w:rPr>
        <w:t>provided the second. Motion carried.</w:t>
      </w:r>
    </w:p>
    <w:p w:rsidR="00CB0890" w:rsidRDefault="00CB0890" w:rsidP="00CB0890">
      <w:pPr>
        <w:pStyle w:val="ListNumber"/>
        <w:numPr>
          <w:ilvl w:val="0"/>
          <w:numId w:val="0"/>
        </w:numPr>
        <w:spacing w:before="0" w:after="0"/>
        <w:rPr>
          <w:rFonts w:ascii="Arial" w:hAnsi="Arial" w:cs="Arial"/>
        </w:rPr>
      </w:pPr>
    </w:p>
    <w:p w:rsidR="00036E3C" w:rsidRDefault="008938D5" w:rsidP="00CB0890">
      <w:pPr>
        <w:pStyle w:val="ListNumber"/>
        <w:numPr>
          <w:ilvl w:val="0"/>
          <w:numId w:val="0"/>
        </w:numPr>
        <w:spacing w:before="0" w:after="0"/>
        <w:rPr>
          <w:rFonts w:ascii="Arial" w:hAnsi="Arial" w:cs="Arial"/>
          <w:b w:val="0"/>
          <w:u w:val="none"/>
        </w:rPr>
      </w:pPr>
      <w:r>
        <w:rPr>
          <w:rFonts w:ascii="Arial" w:hAnsi="Arial" w:cs="Arial"/>
        </w:rPr>
        <w:t>Teaching Waiver</w:t>
      </w:r>
      <w:r w:rsidR="008A7B4E">
        <w:rPr>
          <w:rFonts w:ascii="Arial" w:hAnsi="Arial" w:cs="Arial"/>
        </w:rPr>
        <w:br/>
      </w:r>
      <w:r w:rsidR="00E11A0A">
        <w:rPr>
          <w:rFonts w:ascii="Arial" w:hAnsi="Arial" w:cs="Arial"/>
          <w:b w:val="0"/>
          <w:u w:val="none"/>
        </w:rPr>
        <w:t xml:space="preserve">Bob Nielsen </w:t>
      </w:r>
      <w:r>
        <w:rPr>
          <w:rFonts w:ascii="Arial" w:hAnsi="Arial" w:cs="Arial"/>
          <w:b w:val="0"/>
          <w:u w:val="none"/>
        </w:rPr>
        <w:t xml:space="preserve">made a motion to approve </w:t>
      </w:r>
      <w:r w:rsidR="00E11A0A">
        <w:rPr>
          <w:rFonts w:ascii="Arial" w:hAnsi="Arial" w:cs="Arial"/>
          <w:b w:val="0"/>
          <w:u w:val="none"/>
        </w:rPr>
        <w:t xml:space="preserve">the </w:t>
      </w:r>
      <w:proofErr w:type="spellStart"/>
      <w:r w:rsidR="00E11A0A">
        <w:rPr>
          <w:rFonts w:ascii="Arial" w:hAnsi="Arial" w:cs="Arial"/>
          <w:b w:val="0"/>
          <w:u w:val="none"/>
        </w:rPr>
        <w:t>Archtecture</w:t>
      </w:r>
      <w:proofErr w:type="spellEnd"/>
      <w:r w:rsidR="00E11A0A">
        <w:rPr>
          <w:rFonts w:ascii="Arial" w:hAnsi="Arial" w:cs="Arial"/>
          <w:b w:val="0"/>
          <w:u w:val="none"/>
        </w:rPr>
        <w:t xml:space="preserve"> teaching waivers for Meghan </w:t>
      </w:r>
      <w:proofErr w:type="spellStart"/>
      <w:r w:rsidR="00E11A0A">
        <w:rPr>
          <w:rFonts w:ascii="Arial" w:hAnsi="Arial" w:cs="Arial"/>
          <w:b w:val="0"/>
          <w:u w:val="none"/>
        </w:rPr>
        <w:t>Duda</w:t>
      </w:r>
      <w:proofErr w:type="spellEnd"/>
      <w:r w:rsidR="00E11A0A">
        <w:rPr>
          <w:rFonts w:ascii="Arial" w:hAnsi="Arial" w:cs="Arial"/>
          <w:b w:val="0"/>
          <w:u w:val="none"/>
        </w:rPr>
        <w:t xml:space="preserve"> (ARCH 789), Frank </w:t>
      </w:r>
      <w:proofErr w:type="spellStart"/>
      <w:r w:rsidR="00E11A0A">
        <w:rPr>
          <w:rFonts w:ascii="Arial" w:hAnsi="Arial" w:cs="Arial"/>
          <w:b w:val="0"/>
          <w:u w:val="none"/>
        </w:rPr>
        <w:t>Kratky</w:t>
      </w:r>
      <w:proofErr w:type="spellEnd"/>
      <w:r w:rsidR="00E11A0A">
        <w:rPr>
          <w:rFonts w:ascii="Arial" w:hAnsi="Arial" w:cs="Arial"/>
          <w:b w:val="0"/>
          <w:u w:val="none"/>
        </w:rPr>
        <w:t xml:space="preserve"> (ARCH 789), John Peterson (ARCH 681) and </w:t>
      </w:r>
      <w:proofErr w:type="spellStart"/>
      <w:r w:rsidR="00E11A0A">
        <w:rPr>
          <w:rFonts w:ascii="Arial" w:hAnsi="Arial" w:cs="Arial"/>
          <w:b w:val="0"/>
          <w:u w:val="none"/>
        </w:rPr>
        <w:t>Malini</w:t>
      </w:r>
      <w:proofErr w:type="spellEnd"/>
      <w:r w:rsidR="00E11A0A">
        <w:rPr>
          <w:rFonts w:ascii="Arial" w:hAnsi="Arial" w:cs="Arial"/>
          <w:b w:val="0"/>
          <w:u w:val="none"/>
        </w:rPr>
        <w:t xml:space="preserve"> </w:t>
      </w:r>
      <w:proofErr w:type="spellStart"/>
      <w:r w:rsidR="00E11A0A">
        <w:rPr>
          <w:rFonts w:ascii="Arial" w:hAnsi="Arial" w:cs="Arial"/>
          <w:b w:val="0"/>
          <w:u w:val="none"/>
        </w:rPr>
        <w:t>Srvastava</w:t>
      </w:r>
      <w:proofErr w:type="spellEnd"/>
      <w:r w:rsidR="00E11A0A">
        <w:rPr>
          <w:rFonts w:ascii="Arial" w:hAnsi="Arial" w:cs="Arial"/>
          <w:b w:val="0"/>
          <w:u w:val="none"/>
        </w:rPr>
        <w:t xml:space="preserve"> (ARCH 771, ARCH 793).</w:t>
      </w:r>
      <w:r w:rsidR="008A7B4E" w:rsidRPr="008A7B4E">
        <w:rPr>
          <w:rFonts w:ascii="Arial" w:hAnsi="Arial" w:cs="Arial"/>
          <w:b w:val="0"/>
          <w:u w:val="none"/>
        </w:rPr>
        <w:t xml:space="preserve"> </w:t>
      </w:r>
      <w:r w:rsidR="00E11A0A">
        <w:rPr>
          <w:rFonts w:ascii="Arial" w:hAnsi="Arial" w:cs="Arial"/>
          <w:b w:val="0"/>
          <w:u w:val="none"/>
        </w:rPr>
        <w:t>Kim Vonnahme</w:t>
      </w:r>
      <w:r>
        <w:rPr>
          <w:rFonts w:ascii="Arial" w:hAnsi="Arial" w:cs="Arial"/>
          <w:b w:val="0"/>
          <w:u w:val="none"/>
        </w:rPr>
        <w:t xml:space="preserve"> provided the second. Motion carried.</w:t>
      </w:r>
    </w:p>
    <w:p w:rsidR="00CB0890" w:rsidRDefault="00CB0890" w:rsidP="00CB0890">
      <w:pPr>
        <w:pStyle w:val="ListNumber"/>
        <w:numPr>
          <w:ilvl w:val="0"/>
          <w:numId w:val="0"/>
        </w:numPr>
        <w:spacing w:before="0" w:after="0"/>
        <w:rPr>
          <w:rFonts w:ascii="Arial" w:hAnsi="Arial" w:cs="Arial"/>
        </w:rPr>
      </w:pPr>
    </w:p>
    <w:p w:rsidR="00B21324" w:rsidRDefault="00E11A0A" w:rsidP="00CB0890">
      <w:pPr>
        <w:pStyle w:val="ListNumber"/>
        <w:numPr>
          <w:ilvl w:val="0"/>
          <w:numId w:val="0"/>
        </w:numPr>
        <w:spacing w:before="0" w:after="0"/>
        <w:rPr>
          <w:rFonts w:ascii="Arial" w:hAnsi="Arial" w:cs="Arial"/>
        </w:rPr>
      </w:pPr>
      <w:r>
        <w:rPr>
          <w:rFonts w:ascii="Arial" w:hAnsi="Arial" w:cs="Arial"/>
        </w:rPr>
        <w:t>Course/Program Proposals</w:t>
      </w:r>
    </w:p>
    <w:p w:rsidR="008938D5" w:rsidRDefault="00E11A0A" w:rsidP="00CB0890">
      <w:pPr>
        <w:pStyle w:val="ListNumber"/>
        <w:numPr>
          <w:ilvl w:val="0"/>
          <w:numId w:val="0"/>
        </w:numPr>
        <w:spacing w:before="0" w:after="0"/>
        <w:rPr>
          <w:rFonts w:ascii="Arial" w:hAnsi="Arial" w:cs="Arial"/>
          <w:b w:val="0"/>
          <w:u w:val="none"/>
        </w:rPr>
      </w:pPr>
      <w:r>
        <w:rPr>
          <w:rFonts w:ascii="Arial" w:hAnsi="Arial" w:cs="Arial"/>
          <w:b w:val="0"/>
          <w:u w:val="none"/>
        </w:rPr>
        <w:t>Charlene Wolf-Hall made a motion to approve the curriculum and option changes for Human Development and Family Science and the option changes for Health, Nutrition and Exercise Science. Birgit Pruess provided the second. Motion carried.</w:t>
      </w:r>
    </w:p>
    <w:p w:rsidR="00CB0890" w:rsidRDefault="00CB0890" w:rsidP="00CB0890">
      <w:pPr>
        <w:pStyle w:val="ListNumber"/>
        <w:numPr>
          <w:ilvl w:val="0"/>
          <w:numId w:val="0"/>
        </w:numPr>
        <w:spacing w:before="0" w:after="0"/>
        <w:rPr>
          <w:rFonts w:ascii="Arial" w:hAnsi="Arial" w:cs="Arial"/>
          <w:b w:val="0"/>
          <w:u w:val="none"/>
        </w:rPr>
      </w:pPr>
    </w:p>
    <w:p w:rsidR="00E11A0A" w:rsidRDefault="00E11A0A" w:rsidP="00CB0890">
      <w:pPr>
        <w:pStyle w:val="ListNumber"/>
        <w:numPr>
          <w:ilvl w:val="0"/>
          <w:numId w:val="0"/>
        </w:numPr>
        <w:spacing w:before="0" w:after="0"/>
        <w:rPr>
          <w:rFonts w:ascii="Arial" w:hAnsi="Arial" w:cs="Arial"/>
          <w:b w:val="0"/>
          <w:u w:val="none"/>
        </w:rPr>
      </w:pPr>
      <w:r>
        <w:rPr>
          <w:rFonts w:ascii="Arial" w:hAnsi="Arial" w:cs="Arial"/>
          <w:b w:val="0"/>
          <w:u w:val="none"/>
        </w:rPr>
        <w:t>Charlene Wolf-Hall made a motion to approve course proposals listed below. Birgit Pruess provided the second. Motion carried.</w:t>
      </w:r>
    </w:p>
    <w:p w:rsidR="00CB0890" w:rsidRDefault="00CB0890" w:rsidP="00CB0890">
      <w:pPr>
        <w:pStyle w:val="ListNumber"/>
        <w:numPr>
          <w:ilvl w:val="0"/>
          <w:numId w:val="0"/>
        </w:numPr>
        <w:spacing w:before="0" w:after="0"/>
        <w:rPr>
          <w:rFonts w:ascii="Arial" w:hAnsi="Arial" w:cs="Arial"/>
          <w:b w:val="0"/>
          <w:u w:val="none"/>
        </w:rPr>
      </w:pPr>
    </w:p>
    <w:tbl>
      <w:tblPr>
        <w:tblW w:w="9090" w:type="dxa"/>
        <w:tblInd w:w="378" w:type="dxa"/>
        <w:tblLook w:val="04A0"/>
      </w:tblPr>
      <w:tblGrid>
        <w:gridCol w:w="805"/>
        <w:gridCol w:w="970"/>
        <w:gridCol w:w="5606"/>
        <w:gridCol w:w="1709"/>
      </w:tblGrid>
      <w:tr w:rsidR="008B6971" w:rsidRPr="00324B6A" w:rsidTr="008B6971">
        <w:trPr>
          <w:trHeight w:val="300"/>
        </w:trPr>
        <w:tc>
          <w:tcPr>
            <w:tcW w:w="805"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ADHM</w:t>
            </w:r>
          </w:p>
        </w:tc>
        <w:tc>
          <w:tcPr>
            <w:tcW w:w="970" w:type="dxa"/>
            <w:tcBorders>
              <w:top w:val="nil"/>
              <w:left w:val="nil"/>
              <w:bottom w:val="nil"/>
              <w:right w:val="nil"/>
            </w:tcBorders>
            <w:shd w:val="clear" w:color="auto" w:fill="auto"/>
            <w:noWrap/>
            <w:vAlign w:val="bottom"/>
            <w:hideMark/>
          </w:tcPr>
          <w:p w:rsidR="008B6971" w:rsidRPr="008B6971" w:rsidRDefault="008B6971" w:rsidP="00481960">
            <w:pPr>
              <w:ind w:left="0"/>
              <w:jc w:val="right"/>
              <w:rPr>
                <w:rFonts w:ascii="Arial" w:hAnsi="Arial" w:cs="Arial"/>
                <w:color w:val="000000"/>
                <w:sz w:val="20"/>
                <w:szCs w:val="20"/>
              </w:rPr>
            </w:pPr>
            <w:r w:rsidRPr="008B6971">
              <w:rPr>
                <w:rFonts w:ascii="Arial" w:hAnsi="Arial" w:cs="Arial"/>
                <w:color w:val="000000"/>
                <w:sz w:val="20"/>
                <w:szCs w:val="20"/>
              </w:rPr>
              <w:t>670</w:t>
            </w:r>
          </w:p>
        </w:tc>
        <w:tc>
          <w:tcPr>
            <w:tcW w:w="5606"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Retail Financial Management and Control</w:t>
            </w:r>
          </w:p>
        </w:tc>
        <w:tc>
          <w:tcPr>
            <w:tcW w:w="1709" w:type="dxa"/>
            <w:tcBorders>
              <w:top w:val="nil"/>
              <w:left w:val="nil"/>
              <w:bottom w:val="nil"/>
              <w:right w:val="nil"/>
            </w:tcBorders>
            <w:shd w:val="clear" w:color="auto" w:fill="auto"/>
            <w:noWrap/>
            <w:vAlign w:val="bottom"/>
            <w:hideMark/>
          </w:tcPr>
          <w:p w:rsidR="008B6971" w:rsidRPr="008B6971" w:rsidRDefault="008B6971" w:rsidP="008B6971">
            <w:pPr>
              <w:ind w:left="0"/>
              <w:rPr>
                <w:rFonts w:ascii="Calibri" w:hAnsi="Calibri"/>
                <w:color w:val="000000"/>
                <w:sz w:val="20"/>
                <w:szCs w:val="20"/>
              </w:rPr>
            </w:pPr>
            <w:r w:rsidRPr="008B6971">
              <w:rPr>
                <w:rFonts w:ascii="Arial" w:hAnsi="Arial" w:cs="Arial"/>
                <w:color w:val="000000"/>
                <w:sz w:val="20"/>
                <w:szCs w:val="20"/>
              </w:rPr>
              <w:t>Course Deletion</w:t>
            </w:r>
          </w:p>
        </w:tc>
      </w:tr>
      <w:tr w:rsidR="008B6971" w:rsidRPr="00324B6A" w:rsidTr="008B6971">
        <w:trPr>
          <w:trHeight w:val="300"/>
        </w:trPr>
        <w:tc>
          <w:tcPr>
            <w:tcW w:w="805"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ENGL</w:t>
            </w:r>
          </w:p>
        </w:tc>
        <w:tc>
          <w:tcPr>
            <w:tcW w:w="970" w:type="dxa"/>
            <w:tcBorders>
              <w:top w:val="nil"/>
              <w:left w:val="nil"/>
              <w:bottom w:val="nil"/>
              <w:right w:val="nil"/>
            </w:tcBorders>
            <w:shd w:val="clear" w:color="auto" w:fill="auto"/>
            <w:noWrap/>
            <w:vAlign w:val="bottom"/>
            <w:hideMark/>
          </w:tcPr>
          <w:p w:rsidR="008B6971" w:rsidRPr="008B6971" w:rsidRDefault="008B6971" w:rsidP="00481960">
            <w:pPr>
              <w:ind w:left="0"/>
              <w:jc w:val="right"/>
              <w:rPr>
                <w:rFonts w:ascii="Arial" w:hAnsi="Arial" w:cs="Arial"/>
                <w:color w:val="000000"/>
                <w:sz w:val="20"/>
                <w:szCs w:val="20"/>
              </w:rPr>
            </w:pPr>
            <w:r w:rsidRPr="008B6971">
              <w:rPr>
                <w:rFonts w:ascii="Arial" w:hAnsi="Arial" w:cs="Arial"/>
                <w:color w:val="000000"/>
                <w:sz w:val="20"/>
                <w:szCs w:val="20"/>
              </w:rPr>
              <w:t>765</w:t>
            </w:r>
          </w:p>
        </w:tc>
        <w:tc>
          <w:tcPr>
            <w:tcW w:w="5606"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Upper Division Writing: Pedagogy, Practice and Technology</w:t>
            </w:r>
          </w:p>
        </w:tc>
        <w:tc>
          <w:tcPr>
            <w:tcW w:w="1709" w:type="dxa"/>
            <w:tcBorders>
              <w:top w:val="nil"/>
              <w:left w:val="nil"/>
              <w:bottom w:val="nil"/>
              <w:right w:val="nil"/>
            </w:tcBorders>
            <w:shd w:val="clear" w:color="auto" w:fill="auto"/>
            <w:noWrap/>
            <w:vAlign w:val="bottom"/>
            <w:hideMark/>
          </w:tcPr>
          <w:p w:rsidR="008B6971" w:rsidRPr="008B6971" w:rsidRDefault="008B6971" w:rsidP="008B6971">
            <w:pPr>
              <w:ind w:left="0"/>
              <w:rPr>
                <w:rFonts w:ascii="Calibri" w:hAnsi="Calibri"/>
                <w:color w:val="000000"/>
                <w:sz w:val="20"/>
                <w:szCs w:val="20"/>
              </w:rPr>
            </w:pPr>
            <w:r w:rsidRPr="008B6971">
              <w:rPr>
                <w:rFonts w:ascii="Arial" w:hAnsi="Arial" w:cs="Arial"/>
                <w:color w:val="000000"/>
                <w:sz w:val="20"/>
                <w:szCs w:val="20"/>
              </w:rPr>
              <w:t>New Course</w:t>
            </w:r>
          </w:p>
        </w:tc>
      </w:tr>
      <w:tr w:rsidR="008B6971" w:rsidRPr="00324B6A" w:rsidTr="008B6971">
        <w:trPr>
          <w:trHeight w:val="300"/>
        </w:trPr>
        <w:tc>
          <w:tcPr>
            <w:tcW w:w="805"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HDFS</w:t>
            </w:r>
          </w:p>
        </w:tc>
        <w:tc>
          <w:tcPr>
            <w:tcW w:w="970" w:type="dxa"/>
            <w:tcBorders>
              <w:top w:val="nil"/>
              <w:left w:val="nil"/>
              <w:bottom w:val="nil"/>
              <w:right w:val="nil"/>
            </w:tcBorders>
            <w:shd w:val="clear" w:color="auto" w:fill="auto"/>
            <w:noWrap/>
            <w:vAlign w:val="bottom"/>
            <w:hideMark/>
          </w:tcPr>
          <w:p w:rsidR="008B6971" w:rsidRPr="008B6971" w:rsidRDefault="008B6971" w:rsidP="00481960">
            <w:pPr>
              <w:ind w:left="0"/>
              <w:jc w:val="right"/>
              <w:rPr>
                <w:rFonts w:ascii="Arial" w:hAnsi="Arial" w:cs="Arial"/>
                <w:color w:val="000000"/>
                <w:sz w:val="20"/>
                <w:szCs w:val="20"/>
              </w:rPr>
            </w:pPr>
            <w:r w:rsidRPr="008B6971">
              <w:rPr>
                <w:rFonts w:ascii="Arial" w:hAnsi="Arial" w:cs="Arial"/>
                <w:color w:val="000000"/>
                <w:sz w:val="20"/>
                <w:szCs w:val="20"/>
              </w:rPr>
              <w:t>650</w:t>
            </w:r>
          </w:p>
        </w:tc>
        <w:tc>
          <w:tcPr>
            <w:tcW w:w="5606"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Adolescent Development</w:t>
            </w:r>
          </w:p>
        </w:tc>
        <w:tc>
          <w:tcPr>
            <w:tcW w:w="1709" w:type="dxa"/>
            <w:tcBorders>
              <w:top w:val="nil"/>
              <w:left w:val="nil"/>
              <w:bottom w:val="nil"/>
              <w:right w:val="nil"/>
            </w:tcBorders>
            <w:shd w:val="clear" w:color="auto" w:fill="auto"/>
            <w:noWrap/>
            <w:vAlign w:val="bottom"/>
            <w:hideMark/>
          </w:tcPr>
          <w:p w:rsidR="008B6971" w:rsidRPr="008B6971" w:rsidRDefault="008B6971" w:rsidP="008B6971">
            <w:pPr>
              <w:ind w:left="0"/>
              <w:rPr>
                <w:rFonts w:ascii="Calibri" w:hAnsi="Calibri"/>
                <w:color w:val="000000"/>
                <w:sz w:val="20"/>
                <w:szCs w:val="20"/>
              </w:rPr>
            </w:pPr>
            <w:r w:rsidRPr="008B6971">
              <w:rPr>
                <w:rFonts w:ascii="Arial" w:hAnsi="Arial" w:cs="Arial"/>
                <w:color w:val="000000"/>
                <w:sz w:val="20"/>
                <w:szCs w:val="20"/>
              </w:rPr>
              <w:t>Course Deletion</w:t>
            </w:r>
          </w:p>
        </w:tc>
      </w:tr>
      <w:tr w:rsidR="008B6971" w:rsidRPr="00324B6A" w:rsidTr="008B6971">
        <w:trPr>
          <w:trHeight w:val="300"/>
        </w:trPr>
        <w:tc>
          <w:tcPr>
            <w:tcW w:w="805"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HNES</w:t>
            </w:r>
          </w:p>
        </w:tc>
        <w:tc>
          <w:tcPr>
            <w:tcW w:w="970" w:type="dxa"/>
            <w:tcBorders>
              <w:top w:val="nil"/>
              <w:left w:val="nil"/>
              <w:bottom w:val="nil"/>
              <w:right w:val="nil"/>
            </w:tcBorders>
            <w:shd w:val="clear" w:color="auto" w:fill="auto"/>
            <w:noWrap/>
            <w:vAlign w:val="bottom"/>
            <w:hideMark/>
          </w:tcPr>
          <w:p w:rsidR="008B6971" w:rsidRPr="008B6971" w:rsidRDefault="008B6971" w:rsidP="00481960">
            <w:pPr>
              <w:ind w:left="0"/>
              <w:jc w:val="right"/>
              <w:rPr>
                <w:rFonts w:ascii="Arial" w:hAnsi="Arial" w:cs="Arial"/>
                <w:color w:val="000000"/>
                <w:sz w:val="20"/>
                <w:szCs w:val="20"/>
              </w:rPr>
            </w:pPr>
            <w:r w:rsidRPr="008B6971">
              <w:rPr>
                <w:rFonts w:ascii="Arial" w:hAnsi="Arial" w:cs="Arial"/>
                <w:color w:val="000000"/>
                <w:sz w:val="20"/>
                <w:szCs w:val="20"/>
              </w:rPr>
              <w:t>712</w:t>
            </w:r>
          </w:p>
        </w:tc>
        <w:tc>
          <w:tcPr>
            <w:tcW w:w="5606"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Supervision and Analysis in HNES</w:t>
            </w:r>
          </w:p>
        </w:tc>
        <w:tc>
          <w:tcPr>
            <w:tcW w:w="1709" w:type="dxa"/>
            <w:tcBorders>
              <w:top w:val="nil"/>
              <w:left w:val="nil"/>
              <w:bottom w:val="nil"/>
              <w:right w:val="nil"/>
            </w:tcBorders>
            <w:shd w:val="clear" w:color="auto" w:fill="auto"/>
            <w:noWrap/>
            <w:vAlign w:val="bottom"/>
            <w:hideMark/>
          </w:tcPr>
          <w:p w:rsidR="008B6971" w:rsidRPr="008B6971" w:rsidRDefault="008B6971" w:rsidP="008B6971">
            <w:pPr>
              <w:ind w:left="0"/>
              <w:rPr>
                <w:rFonts w:ascii="Calibri" w:hAnsi="Calibri"/>
                <w:color w:val="000000"/>
                <w:sz w:val="20"/>
                <w:szCs w:val="20"/>
              </w:rPr>
            </w:pPr>
            <w:r w:rsidRPr="008B6971">
              <w:rPr>
                <w:rFonts w:ascii="Arial" w:hAnsi="Arial" w:cs="Arial"/>
                <w:color w:val="000000"/>
                <w:sz w:val="20"/>
                <w:szCs w:val="20"/>
              </w:rPr>
              <w:t>Course Change</w:t>
            </w:r>
          </w:p>
        </w:tc>
      </w:tr>
      <w:tr w:rsidR="008B6971" w:rsidRPr="00324B6A" w:rsidTr="008B6971">
        <w:trPr>
          <w:trHeight w:val="300"/>
        </w:trPr>
        <w:tc>
          <w:tcPr>
            <w:tcW w:w="805"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HNES</w:t>
            </w:r>
          </w:p>
        </w:tc>
        <w:tc>
          <w:tcPr>
            <w:tcW w:w="970" w:type="dxa"/>
            <w:tcBorders>
              <w:top w:val="nil"/>
              <w:left w:val="nil"/>
              <w:bottom w:val="nil"/>
              <w:right w:val="nil"/>
            </w:tcBorders>
            <w:shd w:val="clear" w:color="auto" w:fill="auto"/>
            <w:noWrap/>
            <w:vAlign w:val="bottom"/>
            <w:hideMark/>
          </w:tcPr>
          <w:p w:rsidR="008B6971" w:rsidRPr="008B6971" w:rsidRDefault="008B6971" w:rsidP="00481960">
            <w:pPr>
              <w:ind w:left="0"/>
              <w:jc w:val="right"/>
              <w:rPr>
                <w:rFonts w:ascii="Arial" w:hAnsi="Arial" w:cs="Arial"/>
                <w:color w:val="000000"/>
                <w:sz w:val="20"/>
                <w:szCs w:val="20"/>
              </w:rPr>
            </w:pPr>
            <w:r w:rsidRPr="008B6971">
              <w:rPr>
                <w:rFonts w:ascii="Arial" w:hAnsi="Arial" w:cs="Arial"/>
                <w:color w:val="000000"/>
                <w:sz w:val="20"/>
                <w:szCs w:val="20"/>
              </w:rPr>
              <w:t>705</w:t>
            </w:r>
          </w:p>
        </w:tc>
        <w:tc>
          <w:tcPr>
            <w:tcW w:w="5606"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Analysis of Sport Skill Instruction and Acquisition</w:t>
            </w:r>
          </w:p>
        </w:tc>
        <w:tc>
          <w:tcPr>
            <w:tcW w:w="1709" w:type="dxa"/>
            <w:tcBorders>
              <w:top w:val="nil"/>
              <w:left w:val="nil"/>
              <w:bottom w:val="nil"/>
              <w:right w:val="nil"/>
            </w:tcBorders>
            <w:shd w:val="clear" w:color="auto" w:fill="auto"/>
            <w:noWrap/>
            <w:vAlign w:val="bottom"/>
            <w:hideMark/>
          </w:tcPr>
          <w:p w:rsidR="008B6971" w:rsidRPr="008B6971" w:rsidRDefault="008B6971" w:rsidP="008B6971">
            <w:pPr>
              <w:ind w:left="0"/>
              <w:rPr>
                <w:rFonts w:ascii="Calibri" w:hAnsi="Calibri"/>
                <w:color w:val="000000"/>
                <w:sz w:val="20"/>
                <w:szCs w:val="20"/>
              </w:rPr>
            </w:pPr>
            <w:r w:rsidRPr="008B6971">
              <w:rPr>
                <w:rFonts w:ascii="Arial" w:hAnsi="Arial" w:cs="Arial"/>
                <w:color w:val="000000"/>
                <w:sz w:val="20"/>
                <w:szCs w:val="20"/>
              </w:rPr>
              <w:t>New Course</w:t>
            </w:r>
          </w:p>
        </w:tc>
      </w:tr>
      <w:tr w:rsidR="008B6971" w:rsidRPr="00324B6A" w:rsidTr="008B6971">
        <w:trPr>
          <w:trHeight w:val="300"/>
        </w:trPr>
        <w:tc>
          <w:tcPr>
            <w:tcW w:w="805"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HNES</w:t>
            </w:r>
          </w:p>
        </w:tc>
        <w:tc>
          <w:tcPr>
            <w:tcW w:w="970" w:type="dxa"/>
            <w:tcBorders>
              <w:top w:val="nil"/>
              <w:left w:val="nil"/>
              <w:bottom w:val="nil"/>
              <w:right w:val="nil"/>
            </w:tcBorders>
            <w:shd w:val="clear" w:color="auto" w:fill="auto"/>
            <w:noWrap/>
            <w:vAlign w:val="bottom"/>
            <w:hideMark/>
          </w:tcPr>
          <w:p w:rsidR="008B6971" w:rsidRPr="008B6971" w:rsidRDefault="008B6971" w:rsidP="00481960">
            <w:pPr>
              <w:ind w:left="0"/>
              <w:jc w:val="right"/>
              <w:rPr>
                <w:rFonts w:ascii="Arial" w:hAnsi="Arial" w:cs="Arial"/>
                <w:color w:val="000000"/>
                <w:sz w:val="20"/>
                <w:szCs w:val="20"/>
              </w:rPr>
            </w:pPr>
            <w:r w:rsidRPr="008B6971">
              <w:rPr>
                <w:rFonts w:ascii="Arial" w:hAnsi="Arial" w:cs="Arial"/>
                <w:color w:val="000000"/>
                <w:sz w:val="20"/>
                <w:szCs w:val="20"/>
              </w:rPr>
              <w:t>700</w:t>
            </w:r>
          </w:p>
        </w:tc>
        <w:tc>
          <w:tcPr>
            <w:tcW w:w="5606"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Research in Physical Education and Sport</w:t>
            </w:r>
          </w:p>
        </w:tc>
        <w:tc>
          <w:tcPr>
            <w:tcW w:w="1709" w:type="dxa"/>
            <w:tcBorders>
              <w:top w:val="nil"/>
              <w:left w:val="nil"/>
              <w:bottom w:val="nil"/>
              <w:right w:val="nil"/>
            </w:tcBorders>
            <w:shd w:val="clear" w:color="auto" w:fill="auto"/>
            <w:noWrap/>
            <w:vAlign w:val="bottom"/>
            <w:hideMark/>
          </w:tcPr>
          <w:p w:rsidR="008B6971" w:rsidRPr="008B6971" w:rsidRDefault="008B6971" w:rsidP="008B6971">
            <w:pPr>
              <w:ind w:left="0"/>
              <w:rPr>
                <w:rFonts w:ascii="Calibri" w:hAnsi="Calibri"/>
                <w:color w:val="000000"/>
                <w:sz w:val="20"/>
                <w:szCs w:val="20"/>
              </w:rPr>
            </w:pPr>
            <w:r w:rsidRPr="008B6971">
              <w:rPr>
                <w:rFonts w:ascii="Arial" w:hAnsi="Arial" w:cs="Arial"/>
                <w:color w:val="000000"/>
                <w:sz w:val="20"/>
                <w:szCs w:val="20"/>
              </w:rPr>
              <w:t>New Course</w:t>
            </w:r>
          </w:p>
        </w:tc>
      </w:tr>
      <w:tr w:rsidR="008B6971" w:rsidRPr="00324B6A" w:rsidTr="008B6971">
        <w:trPr>
          <w:trHeight w:val="300"/>
        </w:trPr>
        <w:tc>
          <w:tcPr>
            <w:tcW w:w="805"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HNES</w:t>
            </w:r>
          </w:p>
        </w:tc>
        <w:tc>
          <w:tcPr>
            <w:tcW w:w="970" w:type="dxa"/>
            <w:tcBorders>
              <w:top w:val="nil"/>
              <w:left w:val="nil"/>
              <w:bottom w:val="nil"/>
              <w:right w:val="nil"/>
            </w:tcBorders>
            <w:shd w:val="clear" w:color="auto" w:fill="auto"/>
            <w:noWrap/>
            <w:vAlign w:val="bottom"/>
            <w:hideMark/>
          </w:tcPr>
          <w:p w:rsidR="008B6971" w:rsidRPr="008B6971" w:rsidRDefault="008B6971" w:rsidP="00481960">
            <w:pPr>
              <w:ind w:left="0"/>
              <w:jc w:val="right"/>
              <w:rPr>
                <w:rFonts w:ascii="Arial" w:hAnsi="Arial" w:cs="Arial"/>
                <w:color w:val="000000"/>
                <w:sz w:val="20"/>
                <w:szCs w:val="20"/>
              </w:rPr>
            </w:pPr>
            <w:r w:rsidRPr="008B6971">
              <w:rPr>
                <w:rFonts w:ascii="Arial" w:hAnsi="Arial" w:cs="Arial"/>
                <w:color w:val="000000"/>
                <w:sz w:val="20"/>
                <w:szCs w:val="20"/>
              </w:rPr>
              <w:t>701</w:t>
            </w:r>
          </w:p>
        </w:tc>
        <w:tc>
          <w:tcPr>
            <w:tcW w:w="5606"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Administrative Leadership in HNES</w:t>
            </w:r>
          </w:p>
        </w:tc>
        <w:tc>
          <w:tcPr>
            <w:tcW w:w="1709" w:type="dxa"/>
            <w:tcBorders>
              <w:top w:val="nil"/>
              <w:left w:val="nil"/>
              <w:bottom w:val="nil"/>
              <w:right w:val="nil"/>
            </w:tcBorders>
            <w:shd w:val="clear" w:color="auto" w:fill="auto"/>
            <w:noWrap/>
            <w:vAlign w:val="bottom"/>
            <w:hideMark/>
          </w:tcPr>
          <w:p w:rsidR="008B6971" w:rsidRPr="008B6971" w:rsidRDefault="008B6971" w:rsidP="008B6971">
            <w:pPr>
              <w:ind w:left="0"/>
              <w:rPr>
                <w:rFonts w:ascii="Calibri" w:hAnsi="Calibri"/>
                <w:color w:val="000000"/>
                <w:sz w:val="20"/>
                <w:szCs w:val="20"/>
              </w:rPr>
            </w:pPr>
            <w:r w:rsidRPr="008B6971">
              <w:rPr>
                <w:rFonts w:ascii="Arial" w:hAnsi="Arial" w:cs="Arial"/>
                <w:color w:val="000000"/>
                <w:sz w:val="20"/>
                <w:szCs w:val="20"/>
              </w:rPr>
              <w:t>Course Change</w:t>
            </w:r>
          </w:p>
        </w:tc>
      </w:tr>
      <w:tr w:rsidR="008B6971" w:rsidRPr="00324B6A" w:rsidTr="008B6971">
        <w:trPr>
          <w:trHeight w:val="300"/>
        </w:trPr>
        <w:tc>
          <w:tcPr>
            <w:tcW w:w="805"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HNES</w:t>
            </w:r>
          </w:p>
        </w:tc>
        <w:tc>
          <w:tcPr>
            <w:tcW w:w="970" w:type="dxa"/>
            <w:tcBorders>
              <w:top w:val="nil"/>
              <w:left w:val="nil"/>
              <w:bottom w:val="nil"/>
              <w:right w:val="nil"/>
            </w:tcBorders>
            <w:shd w:val="clear" w:color="auto" w:fill="auto"/>
            <w:noWrap/>
            <w:vAlign w:val="bottom"/>
            <w:hideMark/>
          </w:tcPr>
          <w:p w:rsidR="008B6971" w:rsidRPr="008B6971" w:rsidRDefault="008B6971" w:rsidP="00481960">
            <w:pPr>
              <w:ind w:left="0"/>
              <w:jc w:val="right"/>
              <w:rPr>
                <w:rFonts w:ascii="Arial" w:hAnsi="Arial" w:cs="Arial"/>
                <w:color w:val="000000"/>
                <w:sz w:val="20"/>
                <w:szCs w:val="20"/>
              </w:rPr>
            </w:pPr>
            <w:r w:rsidRPr="008B6971">
              <w:rPr>
                <w:rFonts w:ascii="Arial" w:hAnsi="Arial" w:cs="Arial"/>
                <w:color w:val="000000"/>
                <w:sz w:val="20"/>
                <w:szCs w:val="20"/>
              </w:rPr>
              <w:t>734</w:t>
            </w:r>
          </w:p>
        </w:tc>
        <w:tc>
          <w:tcPr>
            <w:tcW w:w="5606"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Healthcare Systems</w:t>
            </w:r>
          </w:p>
        </w:tc>
        <w:tc>
          <w:tcPr>
            <w:tcW w:w="1709" w:type="dxa"/>
            <w:tcBorders>
              <w:top w:val="nil"/>
              <w:left w:val="nil"/>
              <w:bottom w:val="nil"/>
              <w:right w:val="nil"/>
            </w:tcBorders>
            <w:shd w:val="clear" w:color="auto" w:fill="auto"/>
            <w:noWrap/>
            <w:vAlign w:val="bottom"/>
            <w:hideMark/>
          </w:tcPr>
          <w:p w:rsidR="008B6971" w:rsidRPr="008B6971" w:rsidRDefault="008B6971" w:rsidP="008B6971">
            <w:pPr>
              <w:ind w:left="0"/>
              <w:rPr>
                <w:rFonts w:ascii="Calibri" w:hAnsi="Calibri"/>
                <w:color w:val="000000"/>
                <w:sz w:val="20"/>
                <w:szCs w:val="20"/>
              </w:rPr>
            </w:pPr>
            <w:r w:rsidRPr="008B6971">
              <w:rPr>
                <w:rFonts w:ascii="Arial" w:hAnsi="Arial" w:cs="Arial"/>
                <w:color w:val="000000"/>
                <w:sz w:val="20"/>
                <w:szCs w:val="20"/>
              </w:rPr>
              <w:t>New Course</w:t>
            </w:r>
          </w:p>
        </w:tc>
      </w:tr>
      <w:tr w:rsidR="008B6971" w:rsidRPr="00324B6A" w:rsidTr="008B6971">
        <w:trPr>
          <w:trHeight w:val="300"/>
        </w:trPr>
        <w:tc>
          <w:tcPr>
            <w:tcW w:w="805"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HNES</w:t>
            </w:r>
          </w:p>
        </w:tc>
        <w:tc>
          <w:tcPr>
            <w:tcW w:w="970" w:type="dxa"/>
            <w:tcBorders>
              <w:top w:val="nil"/>
              <w:left w:val="nil"/>
              <w:bottom w:val="nil"/>
              <w:right w:val="nil"/>
            </w:tcBorders>
            <w:shd w:val="clear" w:color="auto" w:fill="auto"/>
            <w:noWrap/>
            <w:vAlign w:val="bottom"/>
            <w:hideMark/>
          </w:tcPr>
          <w:p w:rsidR="008B6971" w:rsidRPr="008B6971" w:rsidRDefault="008B6971" w:rsidP="00481960">
            <w:pPr>
              <w:ind w:left="0"/>
              <w:jc w:val="right"/>
              <w:rPr>
                <w:rFonts w:ascii="Arial" w:hAnsi="Arial" w:cs="Arial"/>
                <w:color w:val="000000"/>
                <w:sz w:val="20"/>
                <w:szCs w:val="20"/>
              </w:rPr>
            </w:pPr>
            <w:r w:rsidRPr="008B6971">
              <w:rPr>
                <w:rFonts w:ascii="Arial" w:hAnsi="Arial" w:cs="Arial"/>
                <w:color w:val="000000"/>
                <w:sz w:val="20"/>
                <w:szCs w:val="20"/>
              </w:rPr>
              <w:t>757</w:t>
            </w:r>
          </w:p>
        </w:tc>
        <w:tc>
          <w:tcPr>
            <w:tcW w:w="5606"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Nutritional Aspects of Oncology</w:t>
            </w:r>
          </w:p>
        </w:tc>
        <w:tc>
          <w:tcPr>
            <w:tcW w:w="1709" w:type="dxa"/>
            <w:tcBorders>
              <w:top w:val="nil"/>
              <w:left w:val="nil"/>
              <w:bottom w:val="nil"/>
              <w:right w:val="nil"/>
            </w:tcBorders>
            <w:shd w:val="clear" w:color="auto" w:fill="auto"/>
            <w:noWrap/>
            <w:vAlign w:val="bottom"/>
            <w:hideMark/>
          </w:tcPr>
          <w:p w:rsidR="008B6971" w:rsidRPr="008B6971" w:rsidRDefault="008B6971" w:rsidP="008B6971">
            <w:pPr>
              <w:ind w:left="0"/>
              <w:rPr>
                <w:rFonts w:ascii="Calibri" w:hAnsi="Calibri"/>
                <w:color w:val="000000"/>
                <w:sz w:val="20"/>
                <w:szCs w:val="20"/>
              </w:rPr>
            </w:pPr>
            <w:r w:rsidRPr="008B6971">
              <w:rPr>
                <w:rFonts w:ascii="Arial" w:hAnsi="Arial" w:cs="Arial"/>
                <w:color w:val="000000"/>
                <w:sz w:val="20"/>
                <w:szCs w:val="20"/>
              </w:rPr>
              <w:t>New Course</w:t>
            </w:r>
          </w:p>
        </w:tc>
      </w:tr>
      <w:tr w:rsidR="008B6971" w:rsidRPr="00324B6A" w:rsidTr="008B6971">
        <w:trPr>
          <w:trHeight w:val="300"/>
        </w:trPr>
        <w:tc>
          <w:tcPr>
            <w:tcW w:w="805"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MUSC</w:t>
            </w:r>
          </w:p>
        </w:tc>
        <w:tc>
          <w:tcPr>
            <w:tcW w:w="970" w:type="dxa"/>
            <w:tcBorders>
              <w:top w:val="nil"/>
              <w:left w:val="nil"/>
              <w:bottom w:val="nil"/>
              <w:right w:val="nil"/>
            </w:tcBorders>
            <w:shd w:val="clear" w:color="auto" w:fill="auto"/>
            <w:noWrap/>
            <w:vAlign w:val="bottom"/>
            <w:hideMark/>
          </w:tcPr>
          <w:p w:rsidR="008B6971" w:rsidRPr="008B6971" w:rsidRDefault="008B6971" w:rsidP="00481960">
            <w:pPr>
              <w:ind w:left="0"/>
              <w:jc w:val="right"/>
              <w:rPr>
                <w:rFonts w:ascii="Arial" w:hAnsi="Arial" w:cs="Arial"/>
                <w:color w:val="000000"/>
                <w:sz w:val="20"/>
                <w:szCs w:val="20"/>
              </w:rPr>
            </w:pPr>
            <w:r w:rsidRPr="008B6971">
              <w:rPr>
                <w:rFonts w:ascii="Arial" w:hAnsi="Arial" w:cs="Arial"/>
                <w:color w:val="000000"/>
                <w:sz w:val="20"/>
                <w:szCs w:val="20"/>
              </w:rPr>
              <w:t>701</w:t>
            </w:r>
          </w:p>
        </w:tc>
        <w:tc>
          <w:tcPr>
            <w:tcW w:w="5606"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Psychology of Music</w:t>
            </w:r>
          </w:p>
        </w:tc>
        <w:tc>
          <w:tcPr>
            <w:tcW w:w="1709" w:type="dxa"/>
            <w:tcBorders>
              <w:top w:val="nil"/>
              <w:left w:val="nil"/>
              <w:bottom w:val="nil"/>
              <w:right w:val="nil"/>
            </w:tcBorders>
            <w:shd w:val="clear" w:color="auto" w:fill="auto"/>
            <w:noWrap/>
            <w:vAlign w:val="bottom"/>
            <w:hideMark/>
          </w:tcPr>
          <w:p w:rsidR="008B6971" w:rsidRPr="008B6971" w:rsidRDefault="008B6971" w:rsidP="008B6971">
            <w:pPr>
              <w:ind w:left="0"/>
              <w:rPr>
                <w:rFonts w:ascii="Calibri" w:hAnsi="Calibri"/>
                <w:color w:val="000000"/>
                <w:sz w:val="20"/>
                <w:szCs w:val="20"/>
              </w:rPr>
            </w:pPr>
            <w:r w:rsidRPr="008B6971">
              <w:rPr>
                <w:rFonts w:ascii="Arial" w:hAnsi="Arial" w:cs="Arial"/>
                <w:color w:val="000000"/>
                <w:sz w:val="20"/>
                <w:szCs w:val="20"/>
              </w:rPr>
              <w:t>Course Change</w:t>
            </w:r>
          </w:p>
        </w:tc>
      </w:tr>
      <w:tr w:rsidR="008B6971" w:rsidRPr="00324B6A" w:rsidTr="008B6971">
        <w:trPr>
          <w:trHeight w:val="300"/>
        </w:trPr>
        <w:tc>
          <w:tcPr>
            <w:tcW w:w="805"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PHRM</w:t>
            </w:r>
          </w:p>
        </w:tc>
        <w:tc>
          <w:tcPr>
            <w:tcW w:w="970" w:type="dxa"/>
            <w:tcBorders>
              <w:top w:val="nil"/>
              <w:left w:val="nil"/>
              <w:bottom w:val="nil"/>
              <w:right w:val="nil"/>
            </w:tcBorders>
            <w:shd w:val="clear" w:color="auto" w:fill="auto"/>
            <w:noWrap/>
            <w:vAlign w:val="bottom"/>
            <w:hideMark/>
          </w:tcPr>
          <w:p w:rsidR="008B6971" w:rsidRPr="008B6971" w:rsidRDefault="008B6971" w:rsidP="00481960">
            <w:pPr>
              <w:ind w:left="0"/>
              <w:jc w:val="right"/>
              <w:rPr>
                <w:rFonts w:ascii="Arial" w:hAnsi="Arial" w:cs="Arial"/>
                <w:color w:val="000000"/>
                <w:sz w:val="20"/>
                <w:szCs w:val="20"/>
              </w:rPr>
            </w:pPr>
            <w:r w:rsidRPr="008B6971">
              <w:rPr>
                <w:rFonts w:ascii="Arial" w:hAnsi="Arial" w:cs="Arial"/>
                <w:color w:val="000000"/>
                <w:sz w:val="20"/>
                <w:szCs w:val="20"/>
              </w:rPr>
              <w:t>520/620</w:t>
            </w:r>
          </w:p>
        </w:tc>
        <w:tc>
          <w:tcPr>
            <w:tcW w:w="5606" w:type="dxa"/>
            <w:tcBorders>
              <w:top w:val="nil"/>
              <w:left w:val="nil"/>
              <w:bottom w:val="nil"/>
              <w:right w:val="nil"/>
            </w:tcBorders>
            <w:shd w:val="clear" w:color="auto" w:fill="auto"/>
            <w:noWrap/>
            <w:vAlign w:val="bottom"/>
            <w:hideMark/>
          </w:tcPr>
          <w:p w:rsidR="008B6971" w:rsidRPr="008B6971" w:rsidRDefault="008B6971" w:rsidP="00481960">
            <w:pPr>
              <w:ind w:left="0"/>
              <w:rPr>
                <w:rFonts w:ascii="Arial" w:hAnsi="Arial" w:cs="Arial"/>
                <w:color w:val="000000"/>
                <w:sz w:val="20"/>
                <w:szCs w:val="20"/>
              </w:rPr>
            </w:pPr>
            <w:r w:rsidRPr="008B6971">
              <w:rPr>
                <w:rFonts w:ascii="Arial" w:hAnsi="Arial" w:cs="Arial"/>
                <w:color w:val="000000"/>
                <w:sz w:val="20"/>
                <w:szCs w:val="20"/>
              </w:rPr>
              <w:t>PTDI:</w:t>
            </w:r>
            <w:r w:rsidR="00CB0890">
              <w:rPr>
                <w:rFonts w:ascii="Arial" w:hAnsi="Arial" w:cs="Arial"/>
                <w:color w:val="000000"/>
                <w:sz w:val="20"/>
                <w:szCs w:val="20"/>
              </w:rPr>
              <w:t xml:space="preserve"> </w:t>
            </w:r>
            <w:r w:rsidRPr="008B6971">
              <w:rPr>
                <w:rFonts w:ascii="Arial" w:hAnsi="Arial" w:cs="Arial"/>
                <w:color w:val="000000"/>
                <w:sz w:val="20"/>
                <w:szCs w:val="20"/>
              </w:rPr>
              <w:t>Pediatrics-Geriatrics</w:t>
            </w:r>
          </w:p>
        </w:tc>
        <w:tc>
          <w:tcPr>
            <w:tcW w:w="1709" w:type="dxa"/>
            <w:tcBorders>
              <w:top w:val="nil"/>
              <w:left w:val="nil"/>
              <w:bottom w:val="nil"/>
              <w:right w:val="nil"/>
            </w:tcBorders>
            <w:shd w:val="clear" w:color="auto" w:fill="auto"/>
            <w:noWrap/>
            <w:vAlign w:val="bottom"/>
            <w:hideMark/>
          </w:tcPr>
          <w:p w:rsidR="008B6971" w:rsidRPr="008B6971" w:rsidRDefault="008B6971" w:rsidP="008B6971">
            <w:pPr>
              <w:ind w:left="0"/>
              <w:rPr>
                <w:rFonts w:ascii="Calibri" w:hAnsi="Calibri"/>
                <w:color w:val="000000"/>
                <w:sz w:val="20"/>
                <w:szCs w:val="20"/>
              </w:rPr>
            </w:pPr>
            <w:r w:rsidRPr="008B6971">
              <w:rPr>
                <w:rFonts w:ascii="Arial" w:hAnsi="Arial" w:cs="Arial"/>
                <w:color w:val="000000"/>
                <w:sz w:val="20"/>
                <w:szCs w:val="20"/>
              </w:rPr>
              <w:t>Course Change</w:t>
            </w:r>
          </w:p>
        </w:tc>
      </w:tr>
    </w:tbl>
    <w:p w:rsidR="00EB4C6B" w:rsidRDefault="00EB4C6B" w:rsidP="00EB4C6B">
      <w:pPr>
        <w:pStyle w:val="ListNumber"/>
        <w:numPr>
          <w:ilvl w:val="0"/>
          <w:numId w:val="0"/>
        </w:numPr>
        <w:spacing w:before="0" w:after="0"/>
        <w:rPr>
          <w:rFonts w:ascii="Arial" w:hAnsi="Arial" w:cs="Arial"/>
        </w:rPr>
      </w:pPr>
    </w:p>
    <w:p w:rsidR="008938D5" w:rsidRPr="008B6971" w:rsidRDefault="008938D5" w:rsidP="00EB4C6B">
      <w:pPr>
        <w:pStyle w:val="ListNumber"/>
        <w:numPr>
          <w:ilvl w:val="0"/>
          <w:numId w:val="0"/>
        </w:numPr>
        <w:spacing w:before="0" w:after="0"/>
        <w:rPr>
          <w:rFonts w:ascii="Arial" w:hAnsi="Arial" w:cs="Arial"/>
        </w:rPr>
      </w:pPr>
      <w:r w:rsidRPr="008B6971">
        <w:rPr>
          <w:rFonts w:ascii="Arial" w:hAnsi="Arial" w:cs="Arial"/>
        </w:rPr>
        <w:t>Summer Tuition Waiver</w:t>
      </w:r>
    </w:p>
    <w:p w:rsidR="008938D5" w:rsidRDefault="008B6971" w:rsidP="00EB4C6B">
      <w:pPr>
        <w:pStyle w:val="ListNumber"/>
        <w:numPr>
          <w:ilvl w:val="0"/>
          <w:numId w:val="0"/>
        </w:numPr>
        <w:spacing w:before="0" w:after="0"/>
        <w:rPr>
          <w:rFonts w:ascii="Arial" w:hAnsi="Arial" w:cs="Arial"/>
          <w:b w:val="0"/>
          <w:u w:val="none"/>
        </w:rPr>
      </w:pPr>
      <w:r>
        <w:rPr>
          <w:rFonts w:ascii="Arial" w:hAnsi="Arial" w:cs="Arial"/>
          <w:b w:val="0"/>
          <w:u w:val="none"/>
        </w:rPr>
        <w:t>Robert Littlefield made a motion to approve the revised language regarding eligibility for summer tuition waivers. Kim Vonnahme provided the second. Motion carried.</w:t>
      </w:r>
    </w:p>
    <w:p w:rsidR="00EB4C6B" w:rsidRDefault="00EB4C6B" w:rsidP="00EB4C6B">
      <w:pPr>
        <w:pStyle w:val="ListNumber"/>
        <w:numPr>
          <w:ilvl w:val="0"/>
          <w:numId w:val="0"/>
        </w:numPr>
        <w:spacing w:before="0" w:after="0"/>
        <w:rPr>
          <w:rFonts w:ascii="Arial" w:hAnsi="Arial" w:cs="Arial"/>
        </w:rPr>
      </w:pPr>
    </w:p>
    <w:p w:rsidR="00CB0890" w:rsidRPr="008B6971" w:rsidRDefault="00CB0890" w:rsidP="00EB4C6B">
      <w:pPr>
        <w:pStyle w:val="ListNumber"/>
        <w:numPr>
          <w:ilvl w:val="0"/>
          <w:numId w:val="0"/>
        </w:numPr>
        <w:spacing w:before="0" w:after="0"/>
        <w:rPr>
          <w:rFonts w:ascii="Arial" w:hAnsi="Arial" w:cs="Arial"/>
        </w:rPr>
      </w:pPr>
      <w:r>
        <w:rPr>
          <w:rFonts w:ascii="Arial" w:hAnsi="Arial" w:cs="Arial"/>
        </w:rPr>
        <w:t>Academic Road Map</w:t>
      </w:r>
    </w:p>
    <w:p w:rsidR="00CB0890" w:rsidRPr="008938D5" w:rsidRDefault="00CB0890" w:rsidP="00EB4C6B">
      <w:pPr>
        <w:pStyle w:val="ListNumber"/>
        <w:numPr>
          <w:ilvl w:val="0"/>
          <w:numId w:val="0"/>
        </w:numPr>
        <w:spacing w:before="0" w:after="0"/>
        <w:rPr>
          <w:rFonts w:ascii="Arial" w:hAnsi="Arial" w:cs="Arial"/>
          <w:b w:val="0"/>
          <w:u w:val="none"/>
        </w:rPr>
      </w:pPr>
      <w:r>
        <w:rPr>
          <w:rFonts w:ascii="Arial" w:hAnsi="Arial" w:cs="Arial"/>
          <w:b w:val="0"/>
          <w:u w:val="none"/>
        </w:rPr>
        <w:t xml:space="preserve">The Academic Road Map is the next phase of the planning process initiated by President </w:t>
      </w:r>
      <w:proofErr w:type="spellStart"/>
      <w:r>
        <w:rPr>
          <w:rFonts w:ascii="Arial" w:hAnsi="Arial" w:cs="Arial"/>
          <w:b w:val="0"/>
          <w:u w:val="none"/>
        </w:rPr>
        <w:t>Bresciani</w:t>
      </w:r>
      <w:proofErr w:type="spellEnd"/>
      <w:r>
        <w:rPr>
          <w:rFonts w:ascii="Arial" w:hAnsi="Arial" w:cs="Arial"/>
          <w:b w:val="0"/>
          <w:u w:val="none"/>
        </w:rPr>
        <w:t xml:space="preserve">. </w:t>
      </w:r>
    </w:p>
    <w:p w:rsidR="00EB4C6B" w:rsidRDefault="00EB4C6B" w:rsidP="00EB4C6B">
      <w:pPr>
        <w:pStyle w:val="BodyText"/>
        <w:spacing w:before="0" w:after="0"/>
        <w:rPr>
          <w:rFonts w:ascii="Arial" w:hAnsi="Arial" w:cs="Arial"/>
        </w:rPr>
      </w:pPr>
    </w:p>
    <w:p w:rsidR="00C31022" w:rsidRPr="0069543B" w:rsidRDefault="00C31022" w:rsidP="00EB4C6B">
      <w:pPr>
        <w:pStyle w:val="BodyText"/>
        <w:spacing w:before="0" w:after="0"/>
        <w:rPr>
          <w:rFonts w:ascii="Arial" w:hAnsi="Arial" w:cs="Arial"/>
          <w:b/>
          <w:u w:val="single"/>
        </w:rPr>
      </w:pPr>
      <w:r>
        <w:rPr>
          <w:rFonts w:ascii="Arial" w:hAnsi="Arial" w:cs="Arial"/>
        </w:rPr>
        <w:t>Dr. Wittro</w:t>
      </w:r>
      <w:r w:rsidR="00326946">
        <w:rPr>
          <w:rFonts w:ascii="Arial" w:hAnsi="Arial" w:cs="Arial"/>
        </w:rPr>
        <w:t xml:space="preserve">ck adjourned the meeting at </w:t>
      </w:r>
      <w:r w:rsidR="008B6971">
        <w:rPr>
          <w:rFonts w:ascii="Arial" w:hAnsi="Arial" w:cs="Arial"/>
        </w:rPr>
        <w:t>2</w:t>
      </w:r>
      <w:r w:rsidR="008938D5">
        <w:rPr>
          <w:rFonts w:ascii="Arial" w:hAnsi="Arial" w:cs="Arial"/>
        </w:rPr>
        <w:t xml:space="preserve"> p.m</w:t>
      </w:r>
      <w:r>
        <w:rPr>
          <w:rFonts w:ascii="Arial" w:hAnsi="Arial" w:cs="Arial"/>
        </w:rPr>
        <w:t>.</w:t>
      </w:r>
    </w:p>
    <w:p w:rsidR="008E476B" w:rsidRPr="00BB59B9" w:rsidRDefault="0015180F" w:rsidP="008429E5">
      <w:pPr>
        <w:pStyle w:val="BodyText"/>
        <w:rPr>
          <w:rFonts w:ascii="Arial" w:hAnsi="Arial" w:cs="Arial"/>
        </w:rPr>
      </w:pPr>
      <w:r w:rsidRPr="00BB59B9">
        <w:rPr>
          <w:rFonts w:ascii="Arial" w:hAnsi="Arial" w:cs="Arial"/>
        </w:rPr>
        <w:t>Minutes s</w:t>
      </w:r>
      <w:r w:rsidR="008E476B" w:rsidRPr="00BB59B9">
        <w:rPr>
          <w:rFonts w:ascii="Arial" w:hAnsi="Arial" w:cs="Arial"/>
        </w:rPr>
        <w:t xml:space="preserve">ubmitted </w:t>
      </w:r>
      <w:r w:rsidR="004E227E" w:rsidRPr="00BB59B9">
        <w:rPr>
          <w:rFonts w:ascii="Arial" w:hAnsi="Arial" w:cs="Arial"/>
        </w:rPr>
        <w:t xml:space="preserve">by:  </w:t>
      </w:r>
      <w:r w:rsidR="00C31022">
        <w:rPr>
          <w:rFonts w:ascii="Arial" w:hAnsi="Arial" w:cs="Arial"/>
        </w:rPr>
        <w:t>Melissa Selders-Ortez</w:t>
      </w:r>
    </w:p>
    <w:sectPr w:rsidR="008E476B" w:rsidRPr="00BB59B9"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55A5D"/>
    <w:rsid w:val="000C72B1"/>
    <w:rsid w:val="000E78B8"/>
    <w:rsid w:val="00105E78"/>
    <w:rsid w:val="0011573E"/>
    <w:rsid w:val="00140DAE"/>
    <w:rsid w:val="00142623"/>
    <w:rsid w:val="0015180F"/>
    <w:rsid w:val="00193653"/>
    <w:rsid w:val="001C72B5"/>
    <w:rsid w:val="001F7B69"/>
    <w:rsid w:val="00276FA1"/>
    <w:rsid w:val="00291B4A"/>
    <w:rsid w:val="002A50E9"/>
    <w:rsid w:val="00326946"/>
    <w:rsid w:val="00360B6E"/>
    <w:rsid w:val="00363706"/>
    <w:rsid w:val="003A7168"/>
    <w:rsid w:val="003E3FF3"/>
    <w:rsid w:val="00411F8B"/>
    <w:rsid w:val="00446511"/>
    <w:rsid w:val="00461C23"/>
    <w:rsid w:val="00465E20"/>
    <w:rsid w:val="00477352"/>
    <w:rsid w:val="004A234C"/>
    <w:rsid w:val="004B5C09"/>
    <w:rsid w:val="004C79B7"/>
    <w:rsid w:val="004E02F9"/>
    <w:rsid w:val="004E227E"/>
    <w:rsid w:val="00500C9F"/>
    <w:rsid w:val="005073A7"/>
    <w:rsid w:val="00535661"/>
    <w:rsid w:val="00554276"/>
    <w:rsid w:val="005651E1"/>
    <w:rsid w:val="00576DC9"/>
    <w:rsid w:val="00616B41"/>
    <w:rsid w:val="00620AE8"/>
    <w:rsid w:val="00626700"/>
    <w:rsid w:val="00631203"/>
    <w:rsid w:val="0064628C"/>
    <w:rsid w:val="00667018"/>
    <w:rsid w:val="00680296"/>
    <w:rsid w:val="00687389"/>
    <w:rsid w:val="006928C1"/>
    <w:rsid w:val="0069543B"/>
    <w:rsid w:val="006C510E"/>
    <w:rsid w:val="006F03D4"/>
    <w:rsid w:val="0076531B"/>
    <w:rsid w:val="00771C24"/>
    <w:rsid w:val="007C483B"/>
    <w:rsid w:val="007D5836"/>
    <w:rsid w:val="007E6127"/>
    <w:rsid w:val="008122E5"/>
    <w:rsid w:val="008240DA"/>
    <w:rsid w:val="00831960"/>
    <w:rsid w:val="008429E5"/>
    <w:rsid w:val="00867EA4"/>
    <w:rsid w:val="008938D5"/>
    <w:rsid w:val="00895C66"/>
    <w:rsid w:val="00897D88"/>
    <w:rsid w:val="008A7B4E"/>
    <w:rsid w:val="008B6971"/>
    <w:rsid w:val="008C1072"/>
    <w:rsid w:val="008E476B"/>
    <w:rsid w:val="008F1BBD"/>
    <w:rsid w:val="008F353E"/>
    <w:rsid w:val="00932F50"/>
    <w:rsid w:val="00944139"/>
    <w:rsid w:val="009921B8"/>
    <w:rsid w:val="009A51DB"/>
    <w:rsid w:val="009D11D0"/>
    <w:rsid w:val="009E1E2D"/>
    <w:rsid w:val="00A07662"/>
    <w:rsid w:val="00A13149"/>
    <w:rsid w:val="00A64912"/>
    <w:rsid w:val="00A65F1B"/>
    <w:rsid w:val="00A8524E"/>
    <w:rsid w:val="00A9231C"/>
    <w:rsid w:val="00AA76CC"/>
    <w:rsid w:val="00AE361F"/>
    <w:rsid w:val="00B21324"/>
    <w:rsid w:val="00B435B5"/>
    <w:rsid w:val="00B75CFC"/>
    <w:rsid w:val="00BB59B9"/>
    <w:rsid w:val="00BD7723"/>
    <w:rsid w:val="00BE1B35"/>
    <w:rsid w:val="00C1643D"/>
    <w:rsid w:val="00C261A9"/>
    <w:rsid w:val="00C31022"/>
    <w:rsid w:val="00C87B39"/>
    <w:rsid w:val="00C92B22"/>
    <w:rsid w:val="00C95D4B"/>
    <w:rsid w:val="00CB0890"/>
    <w:rsid w:val="00CC3C7D"/>
    <w:rsid w:val="00D022D9"/>
    <w:rsid w:val="00D31AB7"/>
    <w:rsid w:val="00D7640D"/>
    <w:rsid w:val="00D9367D"/>
    <w:rsid w:val="00D9639A"/>
    <w:rsid w:val="00DA2FC4"/>
    <w:rsid w:val="00DF1A50"/>
    <w:rsid w:val="00DF2868"/>
    <w:rsid w:val="00E11A0A"/>
    <w:rsid w:val="00E340A9"/>
    <w:rsid w:val="00EB4C6B"/>
    <w:rsid w:val="00ED7EEA"/>
    <w:rsid w:val="00F223AC"/>
    <w:rsid w:val="00F23697"/>
    <w:rsid w:val="00F25191"/>
    <w:rsid w:val="00F36BB7"/>
    <w:rsid w:val="00F44A02"/>
    <w:rsid w:val="00F90E12"/>
    <w:rsid w:val="00FB31B6"/>
    <w:rsid w:val="00FB3809"/>
    <w:rsid w:val="00FB7E68"/>
    <w:rsid w:val="00FD4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14</TotalTime>
  <Pages>1</Pages>
  <Words>310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7</cp:revision>
  <cp:lastPrinted>2010-04-29T14:23:00Z</cp:lastPrinted>
  <dcterms:created xsi:type="dcterms:W3CDTF">2011-09-15T16:58:00Z</dcterms:created>
  <dcterms:modified xsi:type="dcterms:W3CDTF">2011-09-28T20:18:00Z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