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451770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10</w:t>
      </w:r>
      <w:r w:rsidR="002E13D6">
        <w:rPr>
          <w:rFonts w:ascii="Arial" w:hAnsi="Arial" w:cs="Arial"/>
          <w:b/>
          <w:sz w:val="24"/>
          <w:szCs w:val="24"/>
        </w:rPr>
        <w:t>, 2015</w:t>
      </w:r>
    </w:p>
    <w:p w:rsidR="003E0676" w:rsidRPr="00421198" w:rsidRDefault="002E13D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</w:t>
      </w:r>
      <w:r w:rsidR="003E0676" w:rsidRPr="00421198">
        <w:rPr>
          <w:rFonts w:ascii="Arial" w:hAnsi="Arial" w:cs="Arial"/>
          <w:b/>
          <w:sz w:val="24"/>
          <w:szCs w:val="24"/>
        </w:rPr>
        <w:t>11a.m</w:t>
      </w:r>
      <w:r w:rsidR="00CC24A7" w:rsidRPr="00421198">
        <w:rPr>
          <w:rFonts w:ascii="Arial" w:hAnsi="Arial" w:cs="Arial"/>
          <w:b/>
          <w:sz w:val="24"/>
          <w:szCs w:val="24"/>
        </w:rPr>
        <w:t xml:space="preserve">. </w:t>
      </w:r>
      <w:r w:rsidR="005F736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1770">
        <w:rPr>
          <w:rFonts w:ascii="Arial" w:hAnsi="Arial" w:cs="Arial"/>
          <w:b/>
          <w:sz w:val="24"/>
          <w:szCs w:val="24"/>
        </w:rPr>
        <w:t>Lark</w:t>
      </w:r>
      <w:r w:rsidR="00CB71F7">
        <w:rPr>
          <w:rFonts w:ascii="Arial" w:hAnsi="Arial" w:cs="Arial"/>
          <w:b/>
          <w:sz w:val="24"/>
          <w:szCs w:val="24"/>
        </w:rPr>
        <w:t xml:space="preserve"> </w:t>
      </w:r>
      <w:r w:rsidR="005F7369">
        <w:rPr>
          <w:rFonts w:ascii="Arial" w:hAnsi="Arial" w:cs="Arial"/>
          <w:b/>
          <w:sz w:val="24"/>
          <w:szCs w:val="24"/>
        </w:rPr>
        <w:t>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AC0F39" w:rsidRPr="00AC0F39" w:rsidRDefault="00CB71F7" w:rsidP="00277490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October </w:t>
      </w:r>
      <w:r w:rsidR="00B50700">
        <w:rPr>
          <w:rFonts w:ascii="Arial" w:hAnsi="Arial" w:cs="Arial"/>
          <w:b w:val="0"/>
          <w:color w:val="auto"/>
          <w:sz w:val="24"/>
          <w:szCs w:val="24"/>
        </w:rPr>
        <w:t>27</w:t>
      </w:r>
    </w:p>
    <w:p w:rsidR="001C2A67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  <w:r w:rsidR="001C2A67" w:rsidRPr="001C2A6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B50700" w:rsidRPr="00B50700" w:rsidRDefault="001C2A67" w:rsidP="001C2A67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C2A67">
        <w:rPr>
          <w:rFonts w:ascii="Arial" w:hAnsi="Arial" w:cs="Arial"/>
          <w:b w:val="0"/>
          <w:color w:val="auto"/>
          <w:sz w:val="22"/>
          <w:szCs w:val="22"/>
        </w:rPr>
        <w:t xml:space="preserve">Course Proposals </w:t>
      </w:r>
    </w:p>
    <w:tbl>
      <w:tblPr>
        <w:tblpPr w:leftFromText="180" w:rightFromText="180" w:vertAnchor="page" w:horzAnchor="margin" w:tblpXSpec="center" w:tblpY="4531"/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1620"/>
      </w:tblGrid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ECE 663: Modern Control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ENGL 649: Usability and User Experience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HIST 628: War and Society in Early America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HNES 710: Introduction to Research Design and Methods in HNES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HNES 777: Scholarly Writing and Presenting in HNES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642: Introduction to Topology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643: Differential Geometry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726: Homological Algebra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746: Topology I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747: Topology II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750: Analysis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754: Functional Analysis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791-1: Topics in Combinatorics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824: Topics in Commutative Algebra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825: Theory Of Rings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849: Topics in Geometry &amp; Topology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44433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30" w:rsidRPr="00444330" w:rsidRDefault="0044433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MATH 888: Numerical Analysis</w:t>
            </w:r>
          </w:p>
        </w:tc>
        <w:tc>
          <w:tcPr>
            <w:tcW w:w="1620" w:type="dxa"/>
          </w:tcPr>
          <w:p w:rsidR="00444330" w:rsidRDefault="0044433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277490"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27749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90" w:rsidRPr="00444330" w:rsidRDefault="00277490" w:rsidP="00444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MRKT 696-1: Health Care Marketing</w:t>
            </w:r>
          </w:p>
        </w:tc>
        <w:tc>
          <w:tcPr>
            <w:tcW w:w="1620" w:type="dxa"/>
          </w:tcPr>
          <w:p w:rsidR="00277490" w:rsidRDefault="00277490" w:rsidP="004443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  <w:r w:rsidRPr="00421198">
              <w:rPr>
                <w:rFonts w:ascii="Webdings" w:hAnsi="Webdings" w:cs="Arial"/>
              </w:rPr>
              <w:t></w:t>
            </w:r>
          </w:p>
        </w:tc>
      </w:tr>
      <w:tr w:rsidR="0027749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90" w:rsidRPr="00444330" w:rsidRDefault="00277490" w:rsidP="0027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MRKT 696-1: Modeling the Supply Chain</w:t>
            </w:r>
          </w:p>
        </w:tc>
        <w:tc>
          <w:tcPr>
            <w:tcW w:w="1620" w:type="dxa"/>
          </w:tcPr>
          <w:p w:rsidR="00277490" w:rsidRDefault="00277490" w:rsidP="002774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Course</w:t>
            </w:r>
            <w:r w:rsidRPr="00421198">
              <w:rPr>
                <w:rFonts w:ascii="Webdings" w:hAnsi="Webdings" w:cs="Arial"/>
              </w:rPr>
              <w:t></w:t>
            </w:r>
          </w:p>
        </w:tc>
      </w:tr>
      <w:tr w:rsidR="00277490" w:rsidTr="00444330">
        <w:trPr>
          <w:trHeight w:hRule="exact" w:val="288"/>
        </w:trPr>
        <w:tc>
          <w:tcPr>
            <w:tcW w:w="63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490" w:rsidRPr="00444330" w:rsidRDefault="00277490" w:rsidP="0027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30">
              <w:rPr>
                <w:rFonts w:ascii="Arial" w:hAnsi="Arial" w:cs="Arial"/>
                <w:color w:val="000000"/>
                <w:sz w:val="20"/>
                <w:szCs w:val="20"/>
              </w:rPr>
              <w:t>RELS 601: Sociology of Religion</w:t>
            </w:r>
          </w:p>
        </w:tc>
        <w:tc>
          <w:tcPr>
            <w:tcW w:w="1620" w:type="dxa"/>
          </w:tcPr>
          <w:p w:rsidR="00277490" w:rsidRDefault="00277490" w:rsidP="002774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Inactivation</w:t>
            </w:r>
            <w:r w:rsidRPr="00421198">
              <w:rPr>
                <w:rFonts w:ascii="Webdings" w:hAnsi="Webdings" w:cs="Arial"/>
              </w:rPr>
              <w:t></w:t>
            </w:r>
          </w:p>
        </w:tc>
      </w:tr>
    </w:tbl>
    <w:p w:rsidR="001C2A67" w:rsidRDefault="00741955" w:rsidP="006049D8">
      <w:pPr>
        <w:pStyle w:val="Heading2"/>
        <w:numPr>
          <w:ilvl w:val="0"/>
          <w:numId w:val="0"/>
        </w:numPr>
        <w:spacing w:before="0" w:line="240" w:lineRule="auto"/>
        <w:ind w:left="144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br/>
      </w: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444330" w:rsidRDefault="00444330" w:rsidP="00741955">
      <w:pPr>
        <w:spacing w:after="0"/>
        <w:rPr>
          <w:rFonts w:ascii="Webdings" w:hAnsi="Webdings" w:cs="Arial"/>
        </w:rPr>
      </w:pPr>
    </w:p>
    <w:p w:rsidR="00277490" w:rsidRDefault="00277490" w:rsidP="00741955">
      <w:pPr>
        <w:spacing w:after="0"/>
        <w:rPr>
          <w:rFonts w:ascii="Webdings" w:hAnsi="Webdings" w:cs="Arial"/>
        </w:rPr>
      </w:pPr>
    </w:p>
    <w:p w:rsidR="00277490" w:rsidRDefault="00277490" w:rsidP="00741955">
      <w:pPr>
        <w:spacing w:after="0"/>
        <w:rPr>
          <w:rFonts w:ascii="Webdings" w:hAnsi="Webdings" w:cs="Arial"/>
        </w:rPr>
      </w:pPr>
      <w:bookmarkStart w:id="0" w:name="_GoBack"/>
      <w:bookmarkEnd w:id="0"/>
    </w:p>
    <w:p w:rsidR="00277490" w:rsidRDefault="00277490" w:rsidP="00741955">
      <w:pPr>
        <w:spacing w:after="0"/>
        <w:rPr>
          <w:rFonts w:ascii="Webdings" w:hAnsi="Webdings" w:cs="Arial"/>
        </w:rPr>
      </w:pPr>
    </w:p>
    <w:p w:rsidR="00277490" w:rsidRDefault="00277490" w:rsidP="00741955">
      <w:pPr>
        <w:spacing w:after="0"/>
        <w:rPr>
          <w:rFonts w:ascii="Webdings" w:hAnsi="Webdings" w:cs="Arial"/>
        </w:rPr>
      </w:pPr>
    </w:p>
    <w:p w:rsidR="001C2A67" w:rsidRPr="009A3C94" w:rsidRDefault="001C2A67" w:rsidP="00741955">
      <w:pPr>
        <w:spacing w:after="0"/>
        <w:rPr>
          <w:rFonts w:ascii="Arial" w:hAnsi="Arial" w:cs="Arial"/>
        </w:rPr>
      </w:pPr>
      <w:r w:rsidRPr="00421198">
        <w:rPr>
          <w:rFonts w:ascii="Webdings" w:hAnsi="Webdings" w:cs="Arial"/>
        </w:rPr>
        <w:t></w:t>
      </w:r>
      <w:r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Pr="00402230">
        <w:rPr>
          <w:rFonts w:ascii="Webdings" w:hAnsi="Webdings" w:cs="Arial"/>
          <w:sz w:val="16"/>
          <w:szCs w:val="16"/>
        </w:rPr>
        <w:t></w:t>
      </w:r>
      <w:r w:rsidRPr="00402230">
        <w:rPr>
          <w:rFonts w:ascii="Webdings" w:hAnsi="Webdings" w:cs="Arial"/>
          <w:sz w:val="16"/>
          <w:szCs w:val="16"/>
        </w:rPr>
        <w:t></w:t>
      </w:r>
      <w:r w:rsidRPr="00402230">
        <w:rPr>
          <w:rFonts w:ascii="Arial" w:hAnsi="Arial" w:cs="Arial"/>
          <w:sz w:val="16"/>
          <w:szCs w:val="16"/>
        </w:rPr>
        <w:t>Approved by Curriculum Committee</w:t>
      </w:r>
    </w:p>
    <w:p w:rsidR="0048013E" w:rsidRPr="000E2F1E" w:rsidRDefault="00430488" w:rsidP="002E13D6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0E2F1E">
        <w:rPr>
          <w:rFonts w:ascii="Arial" w:hAnsi="Arial" w:cs="Arial"/>
          <w:b w:val="0"/>
          <w:color w:val="auto"/>
          <w:sz w:val="24"/>
          <w:szCs w:val="24"/>
        </w:rPr>
        <w:t>Old Business</w:t>
      </w:r>
    </w:p>
    <w:p w:rsidR="003D32FD" w:rsidRPr="000E2F1E" w:rsidRDefault="002E13D6" w:rsidP="003D32FD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0E2F1E">
        <w:rPr>
          <w:rFonts w:ascii="Arial" w:hAnsi="Arial" w:cs="Arial"/>
          <w:b w:val="0"/>
          <w:color w:val="auto"/>
          <w:sz w:val="24"/>
          <w:szCs w:val="24"/>
        </w:rPr>
        <w:t>By-laws</w:t>
      </w:r>
    </w:p>
    <w:p w:rsidR="005254D8" w:rsidRDefault="000E2F1E" w:rsidP="000E2F1E">
      <w:pPr>
        <w:pStyle w:val="Heading2"/>
        <w:numPr>
          <w:ilvl w:val="1"/>
          <w:numId w:val="21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0E2F1E">
        <w:rPr>
          <w:rFonts w:ascii="Arial" w:hAnsi="Arial" w:cs="Arial"/>
          <w:b w:val="0"/>
          <w:color w:val="auto"/>
          <w:sz w:val="24"/>
          <w:szCs w:val="24"/>
        </w:rPr>
        <w:t xml:space="preserve">Affiliate Graduate Faculty </w:t>
      </w:r>
      <w:r w:rsidR="005254D8">
        <w:rPr>
          <w:rFonts w:ascii="Arial" w:hAnsi="Arial" w:cs="Arial"/>
          <w:b w:val="0"/>
          <w:color w:val="auto"/>
          <w:sz w:val="24"/>
          <w:szCs w:val="24"/>
        </w:rPr>
        <w:t>Committee</w:t>
      </w:r>
    </w:p>
    <w:p w:rsidR="005254D8" w:rsidRDefault="005254D8" w:rsidP="005254D8">
      <w:pPr>
        <w:pStyle w:val="Heading3"/>
        <w:numPr>
          <w:ilvl w:val="2"/>
          <w:numId w:val="28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5254D8">
        <w:rPr>
          <w:rFonts w:ascii="Arial" w:hAnsi="Arial" w:cs="Arial"/>
          <w:b w:val="0"/>
          <w:color w:val="auto"/>
          <w:sz w:val="24"/>
          <w:szCs w:val="24"/>
        </w:rPr>
        <w:t>Policy Language Update</w:t>
      </w:r>
    </w:p>
    <w:sectPr w:rsidR="005254D8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8A05D9"/>
    <w:multiLevelType w:val="hybridMultilevel"/>
    <w:tmpl w:val="1EB0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6A21"/>
    <w:multiLevelType w:val="hybridMultilevel"/>
    <w:tmpl w:val="8D5A2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C96D86"/>
    <w:multiLevelType w:val="hybridMultilevel"/>
    <w:tmpl w:val="0128AA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4EF37354"/>
    <w:multiLevelType w:val="hybridMultilevel"/>
    <w:tmpl w:val="7846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D26F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E10C3A"/>
    <w:multiLevelType w:val="hybridMultilevel"/>
    <w:tmpl w:val="615C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1"/>
  </w:num>
  <w:num w:numId="5">
    <w:abstractNumId w:val="20"/>
  </w:num>
  <w:num w:numId="6">
    <w:abstractNumId w:val="8"/>
  </w:num>
  <w:num w:numId="7">
    <w:abstractNumId w:val="16"/>
  </w:num>
  <w:num w:numId="8">
    <w:abstractNumId w:val="22"/>
  </w:num>
  <w:num w:numId="9">
    <w:abstractNumId w:val="21"/>
  </w:num>
  <w:num w:numId="10">
    <w:abstractNumId w:val="0"/>
    <w:lvlOverride w:ilvl="0">
      <w:startOverride w:val="1"/>
    </w:lvlOverride>
  </w:num>
  <w:num w:numId="11">
    <w:abstractNumId w:val="19"/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5"/>
  </w:num>
  <w:num w:numId="17">
    <w:abstractNumId w:val="4"/>
  </w:num>
  <w:num w:numId="18">
    <w:abstractNumId w:val="3"/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10"/>
  </w:num>
  <w:num w:numId="26">
    <w:abstractNumId w:val="7"/>
  </w:num>
  <w:num w:numId="27">
    <w:abstractNumId w:val="24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109A8"/>
    <w:rsid w:val="00050B6C"/>
    <w:rsid w:val="00082B03"/>
    <w:rsid w:val="000862A5"/>
    <w:rsid w:val="00097772"/>
    <w:rsid w:val="00097AD6"/>
    <w:rsid w:val="000E2F1E"/>
    <w:rsid w:val="000F0C72"/>
    <w:rsid w:val="001142C0"/>
    <w:rsid w:val="00137EE1"/>
    <w:rsid w:val="00150F8B"/>
    <w:rsid w:val="00181197"/>
    <w:rsid w:val="0018595E"/>
    <w:rsid w:val="001A3DAA"/>
    <w:rsid w:val="001A75A5"/>
    <w:rsid w:val="001C2A67"/>
    <w:rsid w:val="002051D5"/>
    <w:rsid w:val="00233B7F"/>
    <w:rsid w:val="00234A3B"/>
    <w:rsid w:val="00264A62"/>
    <w:rsid w:val="00277490"/>
    <w:rsid w:val="002C0FD4"/>
    <w:rsid w:val="002E13D6"/>
    <w:rsid w:val="002E2130"/>
    <w:rsid w:val="002F58AF"/>
    <w:rsid w:val="0030707A"/>
    <w:rsid w:val="00383155"/>
    <w:rsid w:val="00393639"/>
    <w:rsid w:val="003D32FD"/>
    <w:rsid w:val="003E0676"/>
    <w:rsid w:val="003F1ADE"/>
    <w:rsid w:val="00402230"/>
    <w:rsid w:val="00414669"/>
    <w:rsid w:val="00421198"/>
    <w:rsid w:val="00427203"/>
    <w:rsid w:val="00430488"/>
    <w:rsid w:val="00444330"/>
    <w:rsid w:val="004501F9"/>
    <w:rsid w:val="00451770"/>
    <w:rsid w:val="0048013E"/>
    <w:rsid w:val="004A3253"/>
    <w:rsid w:val="004B3B65"/>
    <w:rsid w:val="004D23DD"/>
    <w:rsid w:val="004D2CDC"/>
    <w:rsid w:val="00514984"/>
    <w:rsid w:val="00517E2B"/>
    <w:rsid w:val="005254D8"/>
    <w:rsid w:val="00543A44"/>
    <w:rsid w:val="005C1143"/>
    <w:rsid w:val="005D36EB"/>
    <w:rsid w:val="005E7413"/>
    <w:rsid w:val="005F7369"/>
    <w:rsid w:val="006049D8"/>
    <w:rsid w:val="006069D1"/>
    <w:rsid w:val="00613014"/>
    <w:rsid w:val="00635FF6"/>
    <w:rsid w:val="00651CCA"/>
    <w:rsid w:val="006A6C8B"/>
    <w:rsid w:val="006D4054"/>
    <w:rsid w:val="006F23E3"/>
    <w:rsid w:val="0070151F"/>
    <w:rsid w:val="00733AF2"/>
    <w:rsid w:val="00741955"/>
    <w:rsid w:val="007421FD"/>
    <w:rsid w:val="00747F9D"/>
    <w:rsid w:val="007B0EC2"/>
    <w:rsid w:val="007B29BE"/>
    <w:rsid w:val="007B3272"/>
    <w:rsid w:val="007E3200"/>
    <w:rsid w:val="007F7898"/>
    <w:rsid w:val="00882273"/>
    <w:rsid w:val="00897AC2"/>
    <w:rsid w:val="008B495E"/>
    <w:rsid w:val="008C034F"/>
    <w:rsid w:val="008D7BF2"/>
    <w:rsid w:val="00902D4B"/>
    <w:rsid w:val="00920CA9"/>
    <w:rsid w:val="00935140"/>
    <w:rsid w:val="009454FC"/>
    <w:rsid w:val="00995669"/>
    <w:rsid w:val="009A3C94"/>
    <w:rsid w:val="009C7DB2"/>
    <w:rsid w:val="009E1959"/>
    <w:rsid w:val="00A50815"/>
    <w:rsid w:val="00A978A1"/>
    <w:rsid w:val="00AA2B92"/>
    <w:rsid w:val="00AB5737"/>
    <w:rsid w:val="00AC0F39"/>
    <w:rsid w:val="00AD2493"/>
    <w:rsid w:val="00B06198"/>
    <w:rsid w:val="00B07FF7"/>
    <w:rsid w:val="00B17853"/>
    <w:rsid w:val="00B33E32"/>
    <w:rsid w:val="00B50700"/>
    <w:rsid w:val="00B55D06"/>
    <w:rsid w:val="00B62BBD"/>
    <w:rsid w:val="00B6763F"/>
    <w:rsid w:val="00BA57C9"/>
    <w:rsid w:val="00BD045B"/>
    <w:rsid w:val="00C736DE"/>
    <w:rsid w:val="00C93201"/>
    <w:rsid w:val="00CB6113"/>
    <w:rsid w:val="00CB71F7"/>
    <w:rsid w:val="00CC24A7"/>
    <w:rsid w:val="00CC423A"/>
    <w:rsid w:val="00DD09B4"/>
    <w:rsid w:val="00E05757"/>
    <w:rsid w:val="00E31065"/>
    <w:rsid w:val="00E759BE"/>
    <w:rsid w:val="00EC0396"/>
    <w:rsid w:val="00ED09CA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FDFC1-7FD4-42A1-96C4-5D51469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63E4-086B-4D5D-8E1A-E98ABD19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Selders-Ortez</dc:creator>
  <cp:lastModifiedBy>Melissa Selders-Ortez</cp:lastModifiedBy>
  <cp:revision>7</cp:revision>
  <cp:lastPrinted>2015-10-13T14:10:00Z</cp:lastPrinted>
  <dcterms:created xsi:type="dcterms:W3CDTF">2015-11-02T21:40:00Z</dcterms:created>
  <dcterms:modified xsi:type="dcterms:W3CDTF">2015-11-09T19:41:00Z</dcterms:modified>
</cp:coreProperties>
</file>