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C6A8" w14:textId="77777777" w:rsidR="0076201D" w:rsidRPr="0076201D" w:rsidRDefault="00820462" w:rsidP="0076201D">
      <w:pPr>
        <w:jc w:val="center"/>
        <w:rPr>
          <w:rFonts w:ascii="Calibri" w:hAnsi="Calibri"/>
          <w:b/>
          <w:caps/>
          <w:sz w:val="28"/>
        </w:rPr>
      </w:pPr>
      <w:bookmarkStart w:id="0" w:name="top"/>
      <w:bookmarkEnd w:id="0"/>
      <w:r w:rsidRPr="0076201D">
        <w:rPr>
          <w:rFonts w:ascii="Calibri" w:hAnsi="Calibri"/>
          <w:b/>
          <w:caps/>
          <w:sz w:val="28"/>
        </w:rPr>
        <w:t>Syllabus Template</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7DEDC6A9" w14:textId="77777777" w:rsidR="007108CD" w:rsidRDefault="007108CD" w:rsidP="00820462">
      <w:pPr>
        <w:rPr>
          <w:rFonts w:ascii="Calibri" w:hAnsi="Calibri"/>
        </w:rPr>
      </w:pPr>
    </w:p>
    <w:p w14:paraId="7DEDC6AA" w14:textId="72291CFB" w:rsidR="007108CD" w:rsidRPr="004D3DE1" w:rsidRDefault="00820462" w:rsidP="00CF0FD9">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D13FBF">
          <w:rPr>
            <w:rStyle w:val="Hyperlink"/>
            <w:rFonts w:ascii="Calibri" w:hAnsi="Calibri"/>
            <w:color w:val="548DD4" w:themeColor="text2" w:themeTint="99"/>
            <w:sz w:val="21"/>
            <w:szCs w:val="21"/>
          </w:rPr>
          <w:t>www.ndsu.edu/fileadmin/policy/331_1.pdf</w:t>
        </w:r>
      </w:hyperlink>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7DEDC6AB" w14:textId="77777777" w:rsidR="00005E3B" w:rsidRPr="004D3DE1" w:rsidRDefault="00005E3B" w:rsidP="0076201D">
      <w:pPr>
        <w:rPr>
          <w:rFonts w:ascii="Calibri" w:hAnsi="Calibri"/>
          <w:sz w:val="21"/>
          <w:szCs w:val="21"/>
        </w:rPr>
      </w:pPr>
    </w:p>
    <w:p w14:paraId="7DEDC6AC" w14:textId="77777777" w:rsidR="0076201D" w:rsidRPr="004D3DE1" w:rsidRDefault="0076201D" w:rsidP="00AD28AC">
      <w:pPr>
        <w:rPr>
          <w:rFonts w:ascii="Calibri" w:hAnsi="Calibri"/>
          <w:b/>
          <w:smallCaps/>
          <w:szCs w:val="21"/>
          <w:u w:val="single"/>
        </w:rPr>
      </w:pPr>
      <w:r w:rsidRPr="004D3DE1">
        <w:rPr>
          <w:rFonts w:ascii="Calibri" w:hAnsi="Calibri"/>
          <w:b/>
          <w:smallCaps/>
          <w:szCs w:val="21"/>
          <w:u w:val="single"/>
        </w:rPr>
        <w:t>Basic Information</w:t>
      </w:r>
    </w:p>
    <w:p w14:paraId="7DEDC6AD" w14:textId="77777777" w:rsidR="00112645" w:rsidRPr="004D3DE1" w:rsidRDefault="00112645" w:rsidP="0076201D">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p>
    <w:p w14:paraId="7DEDC6AE" w14:textId="3F1F319D" w:rsidR="002B567F" w:rsidRDefault="00820462" w:rsidP="002B567F">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2B567F" w:rsidRPr="004D3DE1">
        <w:rPr>
          <w:rFonts w:asciiTheme="minorHAnsi" w:hAnsiTheme="minorHAnsi"/>
          <w:sz w:val="21"/>
          <w:szCs w:val="21"/>
        </w:rPr>
        <w:t xml:space="preserve">(Note for faculty calculating credit hours: Using the Carnegie Unit system, one semester credit is equivalent to one lecture period [50 minutes] in class per week for one regular semester [15 weeks, not including final examination week]. A minimum of two 50-minute laboratory periods per week for one semester is equivalent to one credit </w:t>
      </w:r>
      <w:r w:rsidR="00BF61B7" w:rsidRPr="004D3DE1">
        <w:rPr>
          <w:rFonts w:asciiTheme="minorHAnsi" w:hAnsiTheme="minorHAnsi"/>
          <w:sz w:val="21"/>
          <w:szCs w:val="21"/>
        </w:rPr>
        <w:t>See</w:t>
      </w:r>
      <w:r w:rsidR="002E4742" w:rsidRPr="002E4742">
        <w:t xml:space="preserve"> </w:t>
      </w:r>
      <w:hyperlink r:id="rId8" w:history="1">
        <w:r w:rsidR="00564893" w:rsidRPr="00D13FBF">
          <w:rPr>
            <w:rStyle w:val="Hyperlink"/>
            <w:rFonts w:asciiTheme="minorHAnsi" w:hAnsiTheme="minorHAnsi"/>
            <w:color w:val="548DD4" w:themeColor="text2" w:themeTint="99"/>
            <w:sz w:val="21"/>
            <w:szCs w:val="21"/>
          </w:rPr>
          <w:t>https://catalog.ndsu.edu/academic-policies/academic-credit/</w:t>
        </w:r>
      </w:hyperlink>
      <w:r w:rsidR="00564893">
        <w:rPr>
          <w:rFonts w:asciiTheme="minorHAnsi" w:hAnsiTheme="minorHAnsi"/>
          <w:sz w:val="21"/>
          <w:szCs w:val="21"/>
        </w:rPr>
        <w:t xml:space="preserve">. </w:t>
      </w:r>
    </w:p>
    <w:p w14:paraId="7DEDC6AF" w14:textId="77777777" w:rsidR="00B76865" w:rsidRPr="004D3DE1" w:rsidRDefault="00B76865" w:rsidP="00820462">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7DEDC6B1" w14:textId="77777777" w:rsidR="00820462" w:rsidRPr="004D3DE1" w:rsidRDefault="00820462" w:rsidP="007E2DCB">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7DEDC6B2" w14:textId="77777777"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7DEDC6B3" w14:textId="77777777"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DEDC6B4" w14:textId="77777777" w:rsidR="00CF0FD9" w:rsidRPr="004D3DE1" w:rsidRDefault="00CF0FD9" w:rsidP="007E2DCB">
      <w:pPr>
        <w:rPr>
          <w:rFonts w:asciiTheme="minorHAnsi" w:hAnsiTheme="minorHAnsi"/>
          <w:b/>
          <w:sz w:val="21"/>
          <w:szCs w:val="21"/>
        </w:rPr>
      </w:pPr>
      <w:r w:rsidRPr="004D3DE1">
        <w:rPr>
          <w:rFonts w:asciiTheme="minorHAnsi" w:hAnsiTheme="minorHAnsi"/>
          <w:b/>
          <w:sz w:val="21"/>
          <w:szCs w:val="21"/>
        </w:rPr>
        <w:t>Phone Number:</w:t>
      </w:r>
    </w:p>
    <w:p w14:paraId="7DEDC6B5" w14:textId="77777777" w:rsidR="00820462" w:rsidRPr="004D3DE1" w:rsidRDefault="00CF0FD9" w:rsidP="007E2DCB">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7DEDC6B6" w14:textId="77777777" w:rsidR="002B567F" w:rsidRPr="004D3DE1" w:rsidRDefault="002B567F" w:rsidP="00820462">
      <w:pPr>
        <w:rPr>
          <w:rFonts w:asciiTheme="minorHAnsi" w:hAnsiTheme="minorHAnsi"/>
          <w:sz w:val="21"/>
          <w:szCs w:val="21"/>
        </w:rPr>
      </w:pPr>
    </w:p>
    <w:p w14:paraId="7DEDC6B7" w14:textId="77777777" w:rsidR="007E2DCB" w:rsidRPr="004D3DE1" w:rsidRDefault="00F359DB" w:rsidP="00AD28AC">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7DEDC6B8" w14:textId="6B843DCD" w:rsidR="00820462" w:rsidRPr="004D3DE1" w:rsidRDefault="00E462B7" w:rsidP="00AD28AC">
      <w:pPr>
        <w:rPr>
          <w:rFonts w:asciiTheme="minorHAnsi" w:hAnsiTheme="minorHAnsi"/>
          <w:sz w:val="21"/>
          <w:szCs w:val="21"/>
        </w:rPr>
      </w:pPr>
      <w:r w:rsidRPr="004D3DE1">
        <w:rPr>
          <w:rFonts w:asciiTheme="minorHAnsi" w:hAnsiTheme="minorHAnsi"/>
          <w:sz w:val="21"/>
          <w:szCs w:val="21"/>
        </w:rPr>
        <w:t xml:space="preserve">Description on syllabus must be consistent with the description listed in the current </w:t>
      </w:r>
      <w:r w:rsidR="00E96B9B">
        <w:rPr>
          <w:rFonts w:asciiTheme="minorHAnsi" w:hAnsiTheme="minorHAnsi"/>
          <w:sz w:val="21"/>
          <w:szCs w:val="21"/>
        </w:rPr>
        <w:t>course catalog</w:t>
      </w:r>
      <w:r w:rsidRPr="004D3DE1">
        <w:rPr>
          <w:rFonts w:asciiTheme="minorHAnsi" w:hAnsiTheme="minorHAnsi"/>
          <w:sz w:val="21"/>
          <w:szCs w:val="21"/>
        </w:rPr>
        <w:t xml:space="preserve"> (</w:t>
      </w:r>
      <w:hyperlink r:id="rId9" w:history="1">
        <w:r w:rsidR="00403581" w:rsidRPr="00D13FBF">
          <w:rPr>
            <w:rStyle w:val="Hyperlink"/>
            <w:rFonts w:asciiTheme="minorHAnsi" w:hAnsiTheme="minorHAnsi" w:cstheme="minorHAnsi"/>
            <w:color w:val="548DD4" w:themeColor="text2" w:themeTint="99"/>
            <w:sz w:val="21"/>
            <w:szCs w:val="21"/>
          </w:rPr>
          <w:t>https://catalog.ndsu.edu</w:t>
        </w:r>
        <w:r w:rsidR="00403581" w:rsidRPr="00D13FBF">
          <w:rPr>
            <w:rStyle w:val="Hyperlink"/>
            <w:color w:val="548DD4" w:themeColor="text2" w:themeTint="99"/>
          </w:rPr>
          <w:t>/</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14:paraId="7DEDC6B9" w14:textId="77777777" w:rsidR="0002258C" w:rsidRPr="004D3DE1" w:rsidRDefault="0002258C" w:rsidP="0002258C">
      <w:pPr>
        <w:rPr>
          <w:rFonts w:asciiTheme="minorHAnsi" w:hAnsiTheme="minorHAnsi"/>
          <w:b/>
          <w:sz w:val="21"/>
          <w:szCs w:val="21"/>
        </w:rPr>
      </w:pPr>
    </w:p>
    <w:p w14:paraId="7DEDC6BA" w14:textId="77777777" w:rsidR="007E2DCB" w:rsidRPr="004D3DE1" w:rsidRDefault="00AD28AC" w:rsidP="00AD28AC">
      <w:pPr>
        <w:rPr>
          <w:rFonts w:ascii="Calibri" w:hAnsi="Calibri"/>
          <w:b/>
          <w:smallCaps/>
          <w:szCs w:val="21"/>
          <w:u w:val="single"/>
        </w:rPr>
      </w:pPr>
      <w:r w:rsidRPr="004D3DE1">
        <w:rPr>
          <w:rFonts w:ascii="Calibri" w:hAnsi="Calibri"/>
          <w:b/>
          <w:smallCaps/>
          <w:szCs w:val="21"/>
          <w:u w:val="single"/>
        </w:rPr>
        <w:t>Course Objectives</w:t>
      </w:r>
    </w:p>
    <w:p w14:paraId="7DEDC6BB" w14:textId="77777777" w:rsidR="006B5D77" w:rsidRPr="004D3DE1" w:rsidRDefault="00E462B7" w:rsidP="00820462">
      <w:pPr>
        <w:rPr>
          <w:rFonts w:asciiTheme="minorHAnsi" w:hAnsiTheme="minorHAnsi"/>
          <w:sz w:val="21"/>
          <w:szCs w:val="21"/>
        </w:rPr>
      </w:pPr>
      <w:r w:rsidRPr="004D3DE1">
        <w:rPr>
          <w:rFonts w:asciiTheme="minorHAnsi" w:hAnsiTheme="minorHAnsi"/>
          <w:sz w:val="21"/>
          <w:szCs w:val="21"/>
        </w:rPr>
        <w:t>List</w:t>
      </w:r>
      <w:r w:rsidR="00AD28AC" w:rsidRPr="004D3DE1">
        <w:rPr>
          <w:rFonts w:asciiTheme="minorHAnsi" w:hAnsiTheme="minorHAnsi"/>
          <w:sz w:val="21"/>
          <w:szCs w:val="21"/>
        </w:rPr>
        <w:t xml:space="preserve"> the objectives, goals, aims, and</w:t>
      </w:r>
      <w:r w:rsidR="00005E3B" w:rsidRPr="004D3DE1">
        <w:rPr>
          <w:rFonts w:asciiTheme="minorHAnsi" w:hAnsiTheme="minorHAnsi"/>
          <w:sz w:val="21"/>
          <w:szCs w:val="21"/>
        </w:rPr>
        <w:t>/or</w:t>
      </w:r>
      <w:r w:rsidR="00AD28AC" w:rsidRPr="004D3DE1">
        <w:rPr>
          <w:rFonts w:asciiTheme="minorHAnsi" w:hAnsiTheme="minorHAnsi"/>
          <w:sz w:val="21"/>
          <w:szCs w:val="21"/>
        </w:rPr>
        <w:t xml:space="preserve"> outcomes for the course. </w:t>
      </w:r>
    </w:p>
    <w:p w14:paraId="7DEDC6BC" w14:textId="77777777" w:rsidR="00093203" w:rsidRPr="004D3DE1" w:rsidRDefault="00093203" w:rsidP="00820462">
      <w:pPr>
        <w:rPr>
          <w:rFonts w:asciiTheme="minorHAnsi" w:hAnsiTheme="minorHAnsi"/>
          <w:sz w:val="21"/>
          <w:szCs w:val="21"/>
        </w:rPr>
      </w:pPr>
    </w:p>
    <w:p w14:paraId="7DEDC6BD" w14:textId="77777777" w:rsidR="00093203" w:rsidRPr="004D3DE1" w:rsidRDefault="00093203" w:rsidP="00820462">
      <w:pPr>
        <w:rPr>
          <w:rFonts w:asciiTheme="minorHAnsi" w:hAnsiTheme="minorHAnsi"/>
          <w:sz w:val="21"/>
          <w:szCs w:val="21"/>
        </w:rPr>
      </w:pPr>
      <w:r w:rsidRPr="004D3DE1">
        <w:rPr>
          <w:rFonts w:asciiTheme="minorHAnsi" w:hAnsiTheme="minorHAnsi"/>
          <w:sz w:val="21"/>
          <w:szCs w:val="21"/>
        </w:rPr>
        <w:t>All General Education course syllabi and course web sites must identify the course as having been approved for General Education and include the General Education category and outcomes.</w:t>
      </w:r>
      <w:r w:rsidR="00612782" w:rsidRPr="004D3DE1">
        <w:rPr>
          <w:rFonts w:asciiTheme="minorHAnsi" w:hAnsiTheme="minorHAnsi"/>
          <w:sz w:val="21"/>
          <w:szCs w:val="21"/>
        </w:rPr>
        <w:t xml:space="preserve">  </w:t>
      </w:r>
    </w:p>
    <w:p w14:paraId="7DEDC6BE" w14:textId="77777777" w:rsidR="00093203" w:rsidRPr="004D3DE1" w:rsidRDefault="00093203" w:rsidP="00820462">
      <w:pPr>
        <w:rPr>
          <w:rFonts w:asciiTheme="minorHAnsi" w:hAnsiTheme="minorHAnsi"/>
          <w:sz w:val="21"/>
          <w:szCs w:val="21"/>
        </w:rPr>
      </w:pPr>
    </w:p>
    <w:p w14:paraId="7DEDC6BF" w14:textId="77777777" w:rsidR="00093203" w:rsidRPr="004D3DE1" w:rsidRDefault="00093203" w:rsidP="00820462">
      <w:pPr>
        <w:rPr>
          <w:rFonts w:asciiTheme="minorHAnsi" w:hAnsiTheme="minorHAnsi"/>
          <w:sz w:val="21"/>
          <w:szCs w:val="21"/>
        </w:rPr>
      </w:pPr>
      <w:r w:rsidRPr="004D3DE1">
        <w:rPr>
          <w:rFonts w:asciiTheme="minorHAnsi" w:hAnsiTheme="minorHAnsi"/>
          <w:sz w:val="21"/>
          <w:szCs w:val="21"/>
        </w:rPr>
        <w:t>For courses offered for both undergraduate and graduate credit, course objectives should be written to clearly define the increased expectations for graduate students in these courses.</w:t>
      </w:r>
    </w:p>
    <w:p w14:paraId="7DEDC6C0" w14:textId="77777777" w:rsidR="006B5D77" w:rsidRPr="004D3DE1" w:rsidRDefault="006B5D77" w:rsidP="00820462">
      <w:pPr>
        <w:rPr>
          <w:rFonts w:asciiTheme="minorHAnsi" w:hAnsiTheme="minorHAnsi"/>
          <w:sz w:val="21"/>
          <w:szCs w:val="21"/>
        </w:rPr>
      </w:pPr>
    </w:p>
    <w:p w14:paraId="7DEDC6C1" w14:textId="77777777" w:rsidR="00005E3B" w:rsidRPr="004D3DE1" w:rsidRDefault="00005E3B" w:rsidP="00005E3B">
      <w:pPr>
        <w:rPr>
          <w:rFonts w:ascii="Calibri" w:hAnsi="Calibri"/>
          <w:b/>
          <w:smallCaps/>
          <w:szCs w:val="21"/>
          <w:u w:val="single"/>
        </w:rPr>
      </w:pPr>
      <w:r w:rsidRPr="004D3DE1">
        <w:rPr>
          <w:rFonts w:ascii="Calibri" w:hAnsi="Calibri"/>
          <w:b/>
          <w:smallCaps/>
          <w:szCs w:val="21"/>
          <w:u w:val="single"/>
        </w:rPr>
        <w:t>Required Student Resources</w:t>
      </w:r>
    </w:p>
    <w:p w14:paraId="7DEDC6C2" w14:textId="77777777" w:rsidR="00005E3B" w:rsidRPr="004D3DE1" w:rsidRDefault="00005E3B" w:rsidP="00005E3B">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7DEDC6C3" w14:textId="77777777" w:rsidR="00005E3B" w:rsidRPr="004D3DE1" w:rsidRDefault="00005E3B" w:rsidP="00820462">
      <w:pPr>
        <w:rPr>
          <w:rFonts w:asciiTheme="minorHAnsi" w:hAnsiTheme="minorHAnsi"/>
          <w:sz w:val="21"/>
          <w:szCs w:val="21"/>
        </w:rPr>
      </w:pPr>
    </w:p>
    <w:p w14:paraId="7DEDC6C4" w14:textId="77777777" w:rsidR="00D54F2C" w:rsidRPr="004D3DE1" w:rsidRDefault="00D54F2C" w:rsidP="00D54F2C">
      <w:pPr>
        <w:rPr>
          <w:rFonts w:ascii="Calibri" w:hAnsi="Calibri"/>
          <w:b/>
          <w:smallCaps/>
          <w:szCs w:val="21"/>
          <w:u w:val="single"/>
        </w:rPr>
      </w:pPr>
      <w:r w:rsidRPr="004D3DE1">
        <w:rPr>
          <w:rFonts w:ascii="Calibri" w:hAnsi="Calibri"/>
          <w:b/>
          <w:smallCaps/>
          <w:szCs w:val="21"/>
          <w:u w:val="single"/>
        </w:rPr>
        <w:t>Course Schedule/Outline/Calendar of Events</w:t>
      </w:r>
    </w:p>
    <w:p w14:paraId="7DEDC6C5" w14:textId="77777777" w:rsidR="00005E3B" w:rsidRPr="004D3DE1" w:rsidRDefault="00777552" w:rsidP="00777552">
      <w:pPr>
        <w:spacing w:after="100" w:afterAutospacing="1"/>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5442"/>
        <w:gridCol w:w="3819"/>
      </w:tblGrid>
      <w:tr w:rsidR="00005E3B" w:rsidRPr="004D3DE1" w14:paraId="7DEDC6C9" w14:textId="77777777" w:rsidTr="00777552">
        <w:tc>
          <w:tcPr>
            <w:tcW w:w="1170" w:type="dxa"/>
          </w:tcPr>
          <w:p w14:paraId="7DEDC6C6" w14:textId="77777777"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Week</w:t>
            </w:r>
          </w:p>
        </w:tc>
        <w:tc>
          <w:tcPr>
            <w:tcW w:w="5130" w:type="dxa"/>
          </w:tcPr>
          <w:p w14:paraId="7DEDC6C7" w14:textId="77777777"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Topic</w:t>
            </w:r>
          </w:p>
        </w:tc>
        <w:tc>
          <w:tcPr>
            <w:tcW w:w="3600" w:type="dxa"/>
          </w:tcPr>
          <w:p w14:paraId="7DEDC6C8" w14:textId="77777777"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7DEDC6CD" w14:textId="77777777" w:rsidTr="00777552">
        <w:tc>
          <w:tcPr>
            <w:tcW w:w="1170" w:type="dxa"/>
          </w:tcPr>
          <w:p w14:paraId="7DEDC6CA" w14:textId="77777777"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1</w:t>
            </w:r>
          </w:p>
        </w:tc>
        <w:tc>
          <w:tcPr>
            <w:tcW w:w="5130" w:type="dxa"/>
          </w:tcPr>
          <w:p w14:paraId="7DEDC6CB" w14:textId="77777777" w:rsidR="00005E3B" w:rsidRPr="004D3DE1" w:rsidRDefault="004C0B2E" w:rsidP="00D54F2C">
            <w:pPr>
              <w:rPr>
                <w:rFonts w:asciiTheme="minorHAnsi" w:hAnsiTheme="minorHAnsi"/>
                <w:sz w:val="21"/>
                <w:szCs w:val="21"/>
              </w:rPr>
            </w:pPr>
            <w:r w:rsidRPr="004D3DE1">
              <w:rPr>
                <w:rFonts w:asciiTheme="minorHAnsi" w:hAnsiTheme="minorHAnsi"/>
                <w:sz w:val="21"/>
                <w:szCs w:val="21"/>
              </w:rPr>
              <w:t>Introductions; Role of Cultural Competence</w:t>
            </w:r>
          </w:p>
        </w:tc>
        <w:tc>
          <w:tcPr>
            <w:tcW w:w="3600" w:type="dxa"/>
          </w:tcPr>
          <w:p w14:paraId="7DEDC6CC" w14:textId="77777777"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1</w:t>
            </w:r>
          </w:p>
        </w:tc>
      </w:tr>
      <w:tr w:rsidR="00005E3B" w:rsidRPr="004D3DE1" w14:paraId="7DEDC6D1" w14:textId="77777777" w:rsidTr="00777552">
        <w:tc>
          <w:tcPr>
            <w:tcW w:w="1170" w:type="dxa"/>
          </w:tcPr>
          <w:p w14:paraId="7DEDC6CE" w14:textId="77777777"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2</w:t>
            </w:r>
          </w:p>
        </w:tc>
        <w:tc>
          <w:tcPr>
            <w:tcW w:w="5130" w:type="dxa"/>
          </w:tcPr>
          <w:p w14:paraId="7DEDC6CF" w14:textId="77777777"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Self-Assessment</w:t>
            </w:r>
          </w:p>
        </w:tc>
        <w:tc>
          <w:tcPr>
            <w:tcW w:w="3600" w:type="dxa"/>
          </w:tcPr>
          <w:p w14:paraId="7DEDC6D0" w14:textId="77777777"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7DEDC6D5" w14:textId="77777777" w:rsidTr="00777552">
        <w:tc>
          <w:tcPr>
            <w:tcW w:w="1170" w:type="dxa"/>
          </w:tcPr>
          <w:p w14:paraId="7DEDC6D2" w14:textId="77777777"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3</w:t>
            </w:r>
          </w:p>
        </w:tc>
        <w:tc>
          <w:tcPr>
            <w:tcW w:w="5130" w:type="dxa"/>
          </w:tcPr>
          <w:p w14:paraId="7DEDC6D3" w14:textId="77777777"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Identity</w:t>
            </w:r>
          </w:p>
        </w:tc>
        <w:tc>
          <w:tcPr>
            <w:tcW w:w="3600" w:type="dxa"/>
          </w:tcPr>
          <w:p w14:paraId="7DEDC6D4" w14:textId="77777777" w:rsidR="00005E3B" w:rsidRPr="004D3DE1" w:rsidRDefault="004C0B2E" w:rsidP="004C0B2E">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7DEDC6D9" w14:textId="77777777" w:rsidTr="00777552">
        <w:tc>
          <w:tcPr>
            <w:tcW w:w="1170" w:type="dxa"/>
          </w:tcPr>
          <w:p w14:paraId="7DEDC6D6" w14:textId="77777777"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4</w:t>
            </w:r>
          </w:p>
        </w:tc>
        <w:tc>
          <w:tcPr>
            <w:tcW w:w="5130" w:type="dxa"/>
          </w:tcPr>
          <w:p w14:paraId="7DEDC6D7" w14:textId="77777777" w:rsidR="00005E3B" w:rsidRPr="004D3DE1" w:rsidRDefault="004C0B2E" w:rsidP="00D54F2C">
            <w:pPr>
              <w:rPr>
                <w:rFonts w:asciiTheme="minorHAnsi" w:hAnsiTheme="minorHAnsi"/>
                <w:b/>
                <w:sz w:val="21"/>
                <w:szCs w:val="21"/>
              </w:rPr>
            </w:pPr>
            <w:r w:rsidRPr="004D3DE1">
              <w:rPr>
                <w:rFonts w:asciiTheme="minorHAnsi" w:hAnsiTheme="minorHAnsi"/>
                <w:b/>
                <w:sz w:val="21"/>
                <w:szCs w:val="21"/>
              </w:rPr>
              <w:t>EXAM #1</w:t>
            </w:r>
          </w:p>
        </w:tc>
        <w:tc>
          <w:tcPr>
            <w:tcW w:w="3600" w:type="dxa"/>
          </w:tcPr>
          <w:p w14:paraId="7DEDC6D8" w14:textId="77777777" w:rsidR="00005E3B" w:rsidRPr="004D3DE1" w:rsidRDefault="00005E3B" w:rsidP="00D54F2C">
            <w:pPr>
              <w:rPr>
                <w:rFonts w:asciiTheme="minorHAnsi" w:hAnsiTheme="minorHAnsi"/>
                <w:sz w:val="21"/>
                <w:szCs w:val="21"/>
              </w:rPr>
            </w:pPr>
          </w:p>
        </w:tc>
      </w:tr>
      <w:tr w:rsidR="004C0B2E" w:rsidRPr="004D3DE1" w14:paraId="7DEDC6DD" w14:textId="77777777" w:rsidTr="00777552">
        <w:tc>
          <w:tcPr>
            <w:tcW w:w="1170" w:type="dxa"/>
          </w:tcPr>
          <w:p w14:paraId="7DEDC6DA" w14:textId="77777777" w:rsidR="004C0B2E" w:rsidRPr="004D3DE1" w:rsidRDefault="004C0B2E" w:rsidP="00050FC1">
            <w:pPr>
              <w:jc w:val="center"/>
              <w:rPr>
                <w:rFonts w:asciiTheme="minorHAnsi" w:hAnsiTheme="minorHAnsi"/>
                <w:sz w:val="21"/>
                <w:szCs w:val="21"/>
              </w:rPr>
            </w:pPr>
            <w:r w:rsidRPr="004D3DE1">
              <w:rPr>
                <w:rFonts w:asciiTheme="minorHAnsi" w:hAnsiTheme="minorHAnsi"/>
                <w:sz w:val="21"/>
                <w:szCs w:val="21"/>
              </w:rPr>
              <w:t>5</w:t>
            </w:r>
          </w:p>
        </w:tc>
        <w:tc>
          <w:tcPr>
            <w:tcW w:w="5130" w:type="dxa"/>
          </w:tcPr>
          <w:p w14:paraId="7DEDC6DB" w14:textId="77777777" w:rsidR="004C0B2E" w:rsidRPr="004D3DE1" w:rsidRDefault="004C0B2E" w:rsidP="00D54F2C">
            <w:pPr>
              <w:rPr>
                <w:rFonts w:asciiTheme="minorHAnsi" w:hAnsiTheme="minorHAnsi"/>
                <w:sz w:val="21"/>
                <w:szCs w:val="21"/>
              </w:rPr>
            </w:pPr>
            <w:r w:rsidRPr="004D3DE1">
              <w:rPr>
                <w:rFonts w:asciiTheme="minorHAnsi" w:hAnsiTheme="minorHAnsi"/>
                <w:sz w:val="21"/>
                <w:szCs w:val="21"/>
              </w:rPr>
              <w:t>Cross Cultural Communication</w:t>
            </w:r>
          </w:p>
        </w:tc>
        <w:tc>
          <w:tcPr>
            <w:tcW w:w="3600" w:type="dxa"/>
          </w:tcPr>
          <w:p w14:paraId="7DEDC6DC" w14:textId="77777777" w:rsidR="004C0B2E" w:rsidRPr="004D3DE1" w:rsidRDefault="004C0B2E" w:rsidP="004C0B2E">
            <w:pPr>
              <w:rPr>
                <w:rFonts w:asciiTheme="minorHAnsi" w:hAnsiTheme="minorHAnsi"/>
                <w:sz w:val="21"/>
                <w:szCs w:val="21"/>
              </w:rPr>
            </w:pPr>
            <w:r w:rsidRPr="004D3DE1">
              <w:rPr>
                <w:rFonts w:asciiTheme="minorHAnsi" w:hAnsiTheme="minorHAnsi"/>
                <w:sz w:val="21"/>
                <w:szCs w:val="21"/>
              </w:rPr>
              <w:t xml:space="preserve">Chapter 4 </w:t>
            </w:r>
            <w:r w:rsidR="00ED714F" w:rsidRPr="004D3DE1">
              <w:rPr>
                <w:rFonts w:asciiTheme="minorHAnsi" w:hAnsiTheme="minorHAnsi"/>
                <w:sz w:val="21"/>
                <w:szCs w:val="21"/>
              </w:rPr>
              <w:t>–</w:t>
            </w:r>
            <w:r w:rsidRPr="004D3DE1">
              <w:rPr>
                <w:rFonts w:asciiTheme="minorHAnsi" w:hAnsiTheme="minorHAnsi"/>
                <w:sz w:val="21"/>
                <w:szCs w:val="21"/>
              </w:rPr>
              <w:t xml:space="preserve"> 5</w:t>
            </w:r>
          </w:p>
        </w:tc>
      </w:tr>
      <w:tr w:rsidR="004C0B2E" w:rsidRPr="004D3DE1" w14:paraId="7DEDC6E1" w14:textId="77777777" w:rsidTr="00777552">
        <w:tc>
          <w:tcPr>
            <w:tcW w:w="1170" w:type="dxa"/>
          </w:tcPr>
          <w:p w14:paraId="7DEDC6DE" w14:textId="77777777" w:rsidR="004C0B2E" w:rsidRPr="004D3DE1" w:rsidRDefault="0074116D" w:rsidP="00050FC1">
            <w:pPr>
              <w:jc w:val="center"/>
              <w:rPr>
                <w:rFonts w:asciiTheme="minorHAnsi" w:hAnsiTheme="minorHAnsi"/>
                <w:sz w:val="21"/>
                <w:szCs w:val="21"/>
              </w:rPr>
            </w:pPr>
            <w:r w:rsidRPr="004D3DE1">
              <w:rPr>
                <w:rFonts w:asciiTheme="minorHAnsi" w:hAnsiTheme="minorHAnsi"/>
                <w:sz w:val="21"/>
                <w:szCs w:val="21"/>
              </w:rPr>
              <w:t>etc.</w:t>
            </w:r>
          </w:p>
        </w:tc>
        <w:tc>
          <w:tcPr>
            <w:tcW w:w="5130" w:type="dxa"/>
          </w:tcPr>
          <w:p w14:paraId="7DEDC6DF" w14:textId="77777777" w:rsidR="004C0B2E" w:rsidRPr="004D3DE1" w:rsidRDefault="004C0B2E" w:rsidP="00D54F2C">
            <w:pPr>
              <w:rPr>
                <w:rFonts w:asciiTheme="minorHAnsi" w:hAnsiTheme="minorHAnsi"/>
                <w:sz w:val="21"/>
                <w:szCs w:val="21"/>
              </w:rPr>
            </w:pPr>
            <w:r w:rsidRPr="004D3DE1">
              <w:rPr>
                <w:rFonts w:asciiTheme="minorHAnsi" w:hAnsiTheme="minorHAnsi"/>
                <w:sz w:val="21"/>
                <w:szCs w:val="21"/>
              </w:rPr>
              <w:t>Working with Interpreters</w:t>
            </w:r>
          </w:p>
        </w:tc>
        <w:tc>
          <w:tcPr>
            <w:tcW w:w="3600" w:type="dxa"/>
          </w:tcPr>
          <w:p w14:paraId="7DEDC6E0" w14:textId="77777777" w:rsidR="004C0B2E" w:rsidRPr="004D3DE1" w:rsidRDefault="004C0B2E" w:rsidP="00D54F2C">
            <w:pPr>
              <w:rPr>
                <w:rFonts w:asciiTheme="minorHAnsi" w:hAnsiTheme="minorHAnsi"/>
                <w:sz w:val="21"/>
                <w:szCs w:val="21"/>
              </w:rPr>
            </w:pPr>
            <w:r w:rsidRPr="004D3DE1">
              <w:rPr>
                <w:rFonts w:asciiTheme="minorHAnsi" w:hAnsiTheme="minorHAnsi"/>
                <w:sz w:val="21"/>
                <w:szCs w:val="21"/>
              </w:rPr>
              <w:t>Article 4-6; Reflection Paper due</w:t>
            </w:r>
          </w:p>
        </w:tc>
      </w:tr>
    </w:tbl>
    <w:p w14:paraId="7DEDC6E2" w14:textId="77777777" w:rsidR="002F72E0" w:rsidRPr="004D3DE1" w:rsidRDefault="002F72E0" w:rsidP="00000F3E">
      <w:pPr>
        <w:rPr>
          <w:rFonts w:asciiTheme="minorHAnsi" w:hAnsiTheme="minorHAnsi"/>
          <w:b/>
          <w:smallCaps/>
          <w:sz w:val="21"/>
          <w:szCs w:val="21"/>
          <w:u w:val="single"/>
        </w:rPr>
      </w:pPr>
    </w:p>
    <w:p w14:paraId="7DEDC6E3" w14:textId="77777777" w:rsidR="00EF74AE" w:rsidRPr="004D3DE1" w:rsidRDefault="002F72E0" w:rsidP="002F72E0">
      <w:pPr>
        <w:rPr>
          <w:rFonts w:asciiTheme="minorHAnsi" w:hAnsiTheme="minorHAnsi"/>
          <w:sz w:val="21"/>
          <w:szCs w:val="21"/>
        </w:rPr>
        <w:sectPr w:rsidR="00EF74AE" w:rsidRPr="004D3DE1" w:rsidSect="00EF74AE">
          <w:footerReference w:type="default" r:id="rId10"/>
          <w:pgSz w:w="12240" w:h="15840" w:code="1"/>
          <w:pgMar w:top="864" w:right="864" w:bottom="864" w:left="864" w:header="360" w:footer="360" w:gutter="0"/>
          <w:cols w:space="720"/>
          <w:docGrid w:linePitch="360"/>
        </w:sectPr>
      </w:pPr>
      <w:r w:rsidRPr="004D3DE1">
        <w:rPr>
          <w:rFonts w:asciiTheme="minorHAnsi" w:hAnsiTheme="minorHAnsi"/>
          <w:sz w:val="21"/>
          <w:szCs w:val="21"/>
        </w:rPr>
        <w:t>Note the NDSU Dead Week policy, which limits the amount and type of exams/quizzes that may be given during the last two weeks of the semester and identifies exceptions.  See NDSU Policy 336: Examinations and Grading (</w:t>
      </w:r>
      <w:hyperlink r:id="rId11" w:history="1">
        <w:r w:rsidRPr="00D13FBF">
          <w:rPr>
            <w:rStyle w:val="Hyperlink"/>
            <w:rFonts w:asciiTheme="minorHAnsi" w:hAnsiTheme="minorHAnsi"/>
            <w:color w:val="548DD4" w:themeColor="text2" w:themeTint="99"/>
            <w:sz w:val="21"/>
            <w:szCs w:val="21"/>
          </w:rPr>
          <w:t>www.ndsu.edu/fileadmin/policy/336.pdf</w:t>
        </w:r>
      </w:hyperlink>
      <w:r w:rsidR="00ED714F" w:rsidRPr="004D3DE1">
        <w:rPr>
          <w:rFonts w:asciiTheme="minorHAnsi" w:hAnsiTheme="minorHAnsi"/>
          <w:sz w:val="21"/>
          <w:szCs w:val="21"/>
        </w:rPr>
        <w:t>).</w:t>
      </w:r>
    </w:p>
    <w:p w14:paraId="7DEDC6E4" w14:textId="77777777" w:rsidR="00000F3E" w:rsidRPr="004D3DE1" w:rsidRDefault="00000F3E" w:rsidP="00000F3E">
      <w:pPr>
        <w:rPr>
          <w:rFonts w:ascii="Calibri" w:hAnsi="Calibri"/>
          <w:b/>
          <w:smallCaps/>
          <w:szCs w:val="21"/>
          <w:u w:val="single"/>
        </w:rPr>
      </w:pPr>
      <w:r w:rsidRPr="004D3DE1">
        <w:rPr>
          <w:rFonts w:ascii="Calibri" w:hAnsi="Calibri"/>
          <w:b/>
          <w:smallCaps/>
          <w:szCs w:val="21"/>
          <w:u w:val="single"/>
        </w:rPr>
        <w:lastRenderedPageBreak/>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p>
    <w:p w14:paraId="7DEDC6E5" w14:textId="77777777" w:rsidR="00BE37FF" w:rsidRPr="004D3DE1" w:rsidRDefault="00777552" w:rsidP="00000F3E">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p>
    <w:p w14:paraId="7DEDC6E6" w14:textId="77777777" w:rsidR="00BE37FF" w:rsidRPr="00CF1C17" w:rsidRDefault="00BE37FF" w:rsidP="00000F3E">
      <w:pPr>
        <w:rPr>
          <w:rFonts w:asciiTheme="minorHAnsi" w:hAnsiTheme="minorHAnsi"/>
          <w:sz w:val="16"/>
          <w:szCs w:val="16"/>
        </w:rPr>
      </w:pPr>
    </w:p>
    <w:p w14:paraId="7DEDC6E7" w14:textId="77777777" w:rsidR="00803035" w:rsidRPr="004D3DE1" w:rsidRDefault="003B4984" w:rsidP="00803035">
      <w:pPr>
        <w:pStyle w:val="Default"/>
        <w:rPr>
          <w:sz w:val="21"/>
          <w:szCs w:val="21"/>
        </w:rPr>
      </w:pPr>
      <w:r w:rsidRPr="004D3DE1">
        <w:rPr>
          <w:rFonts w:asciiTheme="minorHAnsi" w:hAnsiTheme="minorHAnsi"/>
          <w:sz w:val="21"/>
          <w:szCs w:val="21"/>
        </w:rPr>
        <w:t xml:space="preserve">If </w:t>
      </w:r>
      <w:r w:rsidR="00777552" w:rsidRPr="004D3DE1">
        <w:rPr>
          <w:rFonts w:asciiTheme="minorHAnsi" w:hAnsiTheme="minorHAnsi"/>
          <w:sz w:val="21"/>
          <w:szCs w:val="21"/>
        </w:rPr>
        <w:t>a</w:t>
      </w:r>
      <w:r w:rsidRPr="004D3DE1">
        <w:rPr>
          <w:rFonts w:asciiTheme="minorHAnsi" w:hAnsiTheme="minorHAnsi"/>
          <w:sz w:val="21"/>
          <w:szCs w:val="21"/>
        </w:rPr>
        <w:t xml:space="preserve"> course is offered for both </w:t>
      </w:r>
      <w:r w:rsidRPr="004D3DE1">
        <w:rPr>
          <w:rFonts w:asciiTheme="minorHAnsi" w:hAnsiTheme="minorHAnsi"/>
          <w:b/>
          <w:sz w:val="21"/>
          <w:szCs w:val="21"/>
        </w:rPr>
        <w:t>undergraduate and graduate credit</w:t>
      </w:r>
      <w:r w:rsidR="000A396B">
        <w:rPr>
          <w:rFonts w:asciiTheme="minorHAnsi" w:hAnsiTheme="minorHAnsi"/>
          <w:b/>
          <w:sz w:val="21"/>
          <w:szCs w:val="21"/>
        </w:rPr>
        <w:t xml:space="preserve"> (400/600 or 500/600)</w:t>
      </w:r>
      <w:r w:rsidRPr="004D3DE1">
        <w:rPr>
          <w:rFonts w:asciiTheme="minorHAnsi" w:hAnsiTheme="minorHAnsi"/>
          <w:sz w:val="21"/>
          <w:szCs w:val="21"/>
        </w:rPr>
        <w:t xml:space="preserve">, the additional requirements for graduate students must be clearly described </w:t>
      </w:r>
      <w:r w:rsidR="00384808" w:rsidRPr="004D3DE1">
        <w:rPr>
          <w:rFonts w:asciiTheme="minorHAnsi" w:hAnsiTheme="minorHAnsi"/>
          <w:sz w:val="21"/>
          <w:szCs w:val="21"/>
        </w:rPr>
        <w:t>on the syllabus</w:t>
      </w:r>
      <w:r w:rsidRPr="004D3DE1">
        <w:rPr>
          <w:rFonts w:asciiTheme="minorHAnsi" w:hAnsiTheme="minorHAnsi"/>
          <w:sz w:val="21"/>
          <w:szCs w:val="21"/>
        </w:rPr>
        <w:t>.</w:t>
      </w:r>
      <w:r w:rsidR="00803035" w:rsidRPr="004D3DE1">
        <w:rPr>
          <w:rFonts w:asciiTheme="minorHAnsi" w:hAnsiTheme="minorHAnsi"/>
          <w:sz w:val="21"/>
          <w:szCs w:val="21"/>
        </w:rPr>
        <w:t xml:space="preserve"> </w:t>
      </w:r>
      <w:r w:rsidR="000A396B" w:rsidRPr="000A396B">
        <w:rPr>
          <w:rFonts w:asciiTheme="minorHAnsi" w:hAnsiTheme="minorHAnsi"/>
          <w:sz w:val="21"/>
          <w:szCs w:val="21"/>
        </w:rPr>
        <w:t xml:space="preserve">The same amount of credit for the course is earned by all students, but additional work is required of students enrolled under the graduate level number. </w:t>
      </w:r>
      <w:r w:rsidR="00803035" w:rsidRPr="004D3DE1">
        <w:rPr>
          <w:rFonts w:asciiTheme="minorHAnsi" w:hAnsiTheme="minorHAnsi"/>
          <w:sz w:val="21"/>
          <w:szCs w:val="21"/>
        </w:rPr>
        <w:t>These courses require a significant, identifiable higher level of expectations for the performance of the graduate students.</w:t>
      </w:r>
      <w:r w:rsidR="00803035" w:rsidRPr="004D3DE1">
        <w:rPr>
          <w:sz w:val="21"/>
          <w:szCs w:val="21"/>
        </w:rPr>
        <w:t xml:space="preserve"> </w:t>
      </w:r>
    </w:p>
    <w:p w14:paraId="7DEDC6E8" w14:textId="77777777" w:rsidR="003B4984" w:rsidRPr="00CF1C17" w:rsidRDefault="00803035" w:rsidP="00000F3E">
      <w:pPr>
        <w:rPr>
          <w:rFonts w:asciiTheme="minorHAnsi" w:hAnsiTheme="minorHAnsi"/>
          <w:sz w:val="16"/>
          <w:szCs w:val="16"/>
        </w:rPr>
      </w:pPr>
      <w:r w:rsidRPr="004D3DE1">
        <w:rPr>
          <w:rFonts w:asciiTheme="minorHAnsi" w:hAnsiTheme="minorHAnsi"/>
          <w:sz w:val="21"/>
          <w:szCs w:val="21"/>
        </w:rPr>
        <w:t xml:space="preserve"> </w:t>
      </w:r>
    </w:p>
    <w:p w14:paraId="7DEDC6E9" w14:textId="77777777" w:rsidR="00000F3E" w:rsidRPr="004D3DE1" w:rsidRDefault="00B728DE" w:rsidP="00000F3E">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percentage of what.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7DEDC6EA" w14:textId="77777777" w:rsidR="00384808" w:rsidRPr="004D3DE1" w:rsidRDefault="00384808" w:rsidP="00000F3E">
      <w:pPr>
        <w:rPr>
          <w:rFonts w:asciiTheme="minorHAnsi" w:hAnsiTheme="minorHAnsi"/>
          <w:sz w:val="21"/>
          <w:szCs w:val="21"/>
        </w:rPr>
      </w:pPr>
    </w:p>
    <w:p w14:paraId="7DEDC6EB" w14:textId="77777777"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t>Ex.</w:t>
      </w:r>
      <w:r w:rsidRPr="004D3DE1">
        <w:rPr>
          <w:rFonts w:asciiTheme="minorHAnsi" w:hAnsiTheme="minorHAnsi"/>
          <w:sz w:val="21"/>
          <w:szCs w:val="21"/>
        </w:rPr>
        <w:tab/>
        <w:t>A =</w:t>
      </w:r>
      <w:r w:rsidRPr="004D3DE1">
        <w:rPr>
          <w:rFonts w:asciiTheme="minorHAnsi" w:hAnsiTheme="minorHAnsi"/>
          <w:sz w:val="21"/>
          <w:szCs w:val="21"/>
        </w:rPr>
        <w:tab/>
        <w:t>&gt; 360 points</w:t>
      </w:r>
    </w:p>
    <w:p w14:paraId="7DEDC6EC" w14:textId="77777777"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7DEDC6ED" w14:textId="77777777"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7DEDC6EE" w14:textId="77777777"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7DEDC6EF" w14:textId="77777777"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7DEDC6F0" w14:textId="77777777" w:rsidR="00384808" w:rsidRPr="004D3DE1" w:rsidRDefault="00384808" w:rsidP="00612782">
      <w:pPr>
        <w:tabs>
          <w:tab w:val="left" w:pos="360"/>
          <w:tab w:val="left" w:pos="1080"/>
          <w:tab w:val="right" w:pos="4320"/>
          <w:tab w:val="left" w:pos="6120"/>
          <w:tab w:val="left" w:pos="6660"/>
          <w:tab w:val="left" w:pos="7200"/>
        </w:tabs>
        <w:rPr>
          <w:rFonts w:asciiTheme="minorHAnsi" w:hAnsiTheme="minorHAnsi"/>
          <w:sz w:val="21"/>
          <w:szCs w:val="21"/>
        </w:rPr>
      </w:pPr>
    </w:p>
    <w:p w14:paraId="7DEDC6F1" w14:textId="77777777"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t xml:space="preserve">Ex.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DEDC6F2" w14:textId="77777777"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7DEDC6F3" w14:textId="77777777"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7DEDC6F4" w14:textId="77777777"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7DEDC6F5" w14:textId="77777777"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7DEDC6F6" w14:textId="77777777" w:rsidR="007D756C" w:rsidRPr="00CF1C17" w:rsidRDefault="006F64BC" w:rsidP="00000F3E">
      <w:pPr>
        <w:rPr>
          <w:rFonts w:asciiTheme="minorHAnsi" w:hAnsiTheme="minorHAnsi"/>
          <w:sz w:val="16"/>
          <w:szCs w:val="16"/>
        </w:rPr>
      </w:pPr>
      <w:r w:rsidRPr="004D3DE1">
        <w:rPr>
          <w:rFonts w:asciiTheme="minorHAnsi" w:hAnsiTheme="minorHAnsi"/>
          <w:sz w:val="21"/>
          <w:szCs w:val="21"/>
        </w:rPr>
        <w:tab/>
      </w:r>
    </w:p>
    <w:p w14:paraId="7DEDC6F7" w14:textId="77777777" w:rsidR="000A011C" w:rsidRPr="004D3DE1" w:rsidRDefault="00BE37FF" w:rsidP="000A011C">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7DEDC6F8" w14:textId="77777777" w:rsidR="00BE37FF" w:rsidRPr="004D3DE1" w:rsidRDefault="00BE37FF" w:rsidP="00CC7207">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t>
        </w:r>
        <w:r w:rsidR="008B3722" w:rsidRPr="004B3866">
          <w:rPr>
            <w:rStyle w:val="Hyperlink"/>
            <w:rFonts w:asciiTheme="minorHAnsi" w:hAnsiTheme="minorHAnsi"/>
            <w:color w:val="548DD4" w:themeColor="text2" w:themeTint="99"/>
            <w:sz w:val="21"/>
            <w:szCs w:val="21"/>
          </w:rPr>
          <w:t>www.ndsu.edu/fileadmin/policy/333.pdf</w:t>
        </w:r>
        <w:r w:rsidR="008B3722" w:rsidRPr="008B3722">
          <w:rPr>
            <w:rStyle w:val="Hyperlink"/>
            <w:rFonts w:asciiTheme="minorHAnsi" w:hAnsiTheme="minorHAnsi"/>
            <w:sz w:val="21"/>
            <w:szCs w:val="21"/>
          </w:rPr>
          <w:t>)</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7DEDC6F9" w14:textId="77777777" w:rsidR="00DC1D5A" w:rsidRPr="00CF1C17" w:rsidRDefault="00DC1D5A" w:rsidP="00CC7207">
      <w:pPr>
        <w:rPr>
          <w:rFonts w:asciiTheme="minorHAnsi" w:hAnsiTheme="minorHAnsi"/>
          <w:sz w:val="16"/>
          <w:szCs w:val="16"/>
        </w:rPr>
      </w:pPr>
    </w:p>
    <w:p w14:paraId="7DEDC6FA" w14:textId="77777777" w:rsidR="00DC1D5A" w:rsidRPr="004D3DE1" w:rsidRDefault="00DC1D5A" w:rsidP="00CC7207">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7DEDC6FB" w14:textId="77777777" w:rsidR="00BE37FF" w:rsidRPr="00CF1C17" w:rsidRDefault="00BE37FF" w:rsidP="000C050A">
      <w:pPr>
        <w:rPr>
          <w:rFonts w:asciiTheme="minorHAnsi" w:hAnsiTheme="minorHAnsi"/>
          <w:smallCaps/>
          <w:sz w:val="16"/>
          <w:szCs w:val="16"/>
        </w:rPr>
      </w:pPr>
    </w:p>
    <w:p w14:paraId="7DEDC6FC" w14:textId="77777777" w:rsidR="000C050A" w:rsidRPr="004D3DE1" w:rsidRDefault="000C050A" w:rsidP="000C050A">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7DEDC6FD" w14:textId="56640832" w:rsidR="005F22D0" w:rsidRDefault="00DC1D5A" w:rsidP="000C050A">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w:history="1">
        <w:r w:rsidR="00351239" w:rsidRPr="00A47A9C">
          <w:rPr>
            <w:rStyle w:val="Hyperlink"/>
            <w:rFonts w:asciiTheme="minorHAnsi" w:hAnsiTheme="minorHAnsi"/>
            <w:sz w:val="21"/>
            <w:szCs w:val="21"/>
          </w:rPr>
          <w:t>Center for Accessibility and Disability Services (</w:t>
        </w:r>
        <w:r w:rsidR="00351239" w:rsidRPr="004B3866">
          <w:rPr>
            <w:rStyle w:val="Hyperlink"/>
            <w:rFonts w:asciiTheme="minorHAnsi" w:hAnsiTheme="minorHAnsi"/>
            <w:color w:val="548DD4" w:themeColor="text2" w:themeTint="99"/>
            <w:sz w:val="21"/>
            <w:szCs w:val="21"/>
          </w:rPr>
          <w:t>www.ndsu.edu/disabilityservices</w:t>
        </w:r>
        <w:r w:rsidR="00351239" w:rsidRPr="00A47A9C">
          <w:rPr>
            <w:rStyle w:val="Hyperlink"/>
            <w:rFonts w:asciiTheme="minorHAnsi" w:hAnsiTheme="minorHAnsi"/>
            <w:sz w:val="21"/>
            <w:szCs w:val="21"/>
          </w:rPr>
          <w:t>)</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261AA8A9" w14:textId="67C531DC" w:rsidR="00EA2145" w:rsidRPr="00CF1C17" w:rsidRDefault="00EA2145" w:rsidP="000C050A">
      <w:pPr>
        <w:rPr>
          <w:rFonts w:asciiTheme="minorHAnsi" w:hAnsiTheme="minorHAnsi"/>
          <w:sz w:val="16"/>
          <w:szCs w:val="16"/>
        </w:rPr>
      </w:pPr>
    </w:p>
    <w:p w14:paraId="1316B64B" w14:textId="29D5FDF7" w:rsidR="00EA2145" w:rsidRPr="00BC08AF" w:rsidRDefault="00EA2145" w:rsidP="000C050A">
      <w:pPr>
        <w:rPr>
          <w:rFonts w:asciiTheme="minorHAnsi" w:hAnsiTheme="minorHAnsi"/>
          <w:b/>
          <w:bCs/>
          <w:smallCaps/>
        </w:rPr>
      </w:pPr>
      <w:r w:rsidRPr="00BC08AF">
        <w:rPr>
          <w:rFonts w:asciiTheme="minorHAnsi" w:hAnsiTheme="minorHAnsi"/>
          <w:b/>
          <w:bCs/>
          <w:smallCaps/>
          <w:u w:val="single"/>
        </w:rPr>
        <w:t>F</w:t>
      </w:r>
      <w:r w:rsidR="00BC08AF" w:rsidRPr="00BC08AF">
        <w:rPr>
          <w:rFonts w:asciiTheme="minorHAnsi" w:hAnsiTheme="minorHAnsi"/>
          <w:b/>
          <w:bCs/>
          <w:smallCaps/>
          <w:u w:val="single"/>
        </w:rPr>
        <w:t>amily Educational Rights and Privacy Act (FERPA) Statement</w:t>
      </w:r>
    </w:p>
    <w:p w14:paraId="7DEDC6FE" w14:textId="3E155F65" w:rsidR="0071289A" w:rsidRDefault="0009726B" w:rsidP="00820462">
      <w:pPr>
        <w:rPr>
          <w:rFonts w:asciiTheme="minorHAnsi" w:hAnsiTheme="minorHAnsi"/>
          <w:sz w:val="21"/>
          <w:szCs w:val="21"/>
        </w:rPr>
      </w:pPr>
      <w:r>
        <w:rPr>
          <w:rFonts w:asciiTheme="minorHAnsi" w:hAnsiTheme="minorHAnsi"/>
          <w:sz w:val="21"/>
          <w:szCs w:val="21"/>
        </w:rPr>
        <w:t>The following statement must appear on all syllabi: “</w:t>
      </w:r>
      <w:r w:rsidR="00C67B1B">
        <w:rPr>
          <w:rFonts w:asciiTheme="minorHAnsi" w:hAnsiTheme="minorHAnsi"/>
          <w:sz w:val="21"/>
          <w:szCs w:val="21"/>
        </w:rPr>
        <w:t xml:space="preserve">Your personally identifiable information and educational records as they relate to this course are subject to </w:t>
      </w:r>
      <w:hyperlink r:id="rId13" w:history="1">
        <w:r w:rsidR="00C67B1B" w:rsidRPr="004B3866">
          <w:rPr>
            <w:rStyle w:val="Hyperlink"/>
            <w:rFonts w:asciiTheme="minorHAnsi" w:hAnsiTheme="minorHAnsi"/>
            <w:color w:val="548DD4" w:themeColor="text2" w:themeTint="99"/>
            <w:sz w:val="21"/>
            <w:szCs w:val="21"/>
          </w:rPr>
          <w:t>FERPA</w:t>
        </w:r>
      </w:hyperlink>
      <w:r w:rsidR="00C67B1B">
        <w:rPr>
          <w:rFonts w:asciiTheme="minorHAnsi" w:hAnsiTheme="minorHAnsi"/>
          <w:sz w:val="21"/>
          <w:szCs w:val="21"/>
        </w:rPr>
        <w:t>.”</w:t>
      </w:r>
    </w:p>
    <w:p w14:paraId="676CD90C" w14:textId="77777777" w:rsidR="00C67B1B" w:rsidRPr="00CF1C17" w:rsidRDefault="00C67B1B" w:rsidP="00820462">
      <w:pPr>
        <w:rPr>
          <w:rFonts w:asciiTheme="minorHAnsi" w:hAnsiTheme="minorHAnsi"/>
          <w:sz w:val="16"/>
          <w:szCs w:val="16"/>
        </w:rPr>
      </w:pPr>
    </w:p>
    <w:p w14:paraId="7DEDC6FF" w14:textId="77777777" w:rsidR="00E36DAF" w:rsidRPr="004D3DE1" w:rsidRDefault="00E36DAF" w:rsidP="00E36DAF">
      <w:pPr>
        <w:rPr>
          <w:rFonts w:ascii="Calibri" w:hAnsi="Calibri"/>
          <w:b/>
          <w:smallCaps/>
          <w:szCs w:val="21"/>
          <w:u w:val="single"/>
        </w:rPr>
      </w:pPr>
      <w:r w:rsidRPr="004D3DE1">
        <w:rPr>
          <w:rFonts w:ascii="Calibri" w:hAnsi="Calibri"/>
          <w:b/>
          <w:smallCaps/>
          <w:szCs w:val="21"/>
          <w:u w:val="single"/>
        </w:rPr>
        <w:t>Approved Academic Honesty Statement</w:t>
      </w:r>
    </w:p>
    <w:p w14:paraId="7DEDC700" w14:textId="19A3AD0A" w:rsidR="007216F0" w:rsidRPr="004D3DE1" w:rsidRDefault="000424BE" w:rsidP="00820462">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D87A25">
          <w:rPr>
            <w:rStyle w:val="Hyperlink"/>
            <w:rFonts w:asciiTheme="minorHAnsi" w:hAnsiTheme="minorHAnsi"/>
            <w:color w:val="548DD4" w:themeColor="text2" w:themeTint="99"/>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9845D7">
          <w:rPr>
            <w:rStyle w:val="Hyperlink"/>
            <w:rFonts w:asciiTheme="minorHAnsi" w:hAnsiTheme="minorHAnsi"/>
            <w:color w:val="548DD4" w:themeColor="text2" w:themeTint="99"/>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9845D7">
          <w:rPr>
            <w:rStyle w:val="Hyperlink"/>
            <w:rFonts w:asciiTheme="minorHAnsi" w:hAnsiTheme="minorHAnsi" w:cstheme="minorHAnsi"/>
            <w:color w:val="548DD4" w:themeColor="text2" w:themeTint="99"/>
            <w:sz w:val="21"/>
            <w:szCs w:val="21"/>
          </w:rPr>
          <w:t>www.ndsu.edu/academichonesty</w:t>
        </w:r>
      </w:hyperlink>
      <w:r w:rsidR="00EF74AE"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7DEDC701" w14:textId="77777777" w:rsidR="005518D5" w:rsidRPr="00CF1C17" w:rsidRDefault="005518D5" w:rsidP="00820462">
      <w:pPr>
        <w:rPr>
          <w:rFonts w:asciiTheme="minorHAnsi" w:hAnsiTheme="minorHAnsi" w:cstheme="minorHAnsi"/>
          <w:sz w:val="16"/>
          <w:szCs w:val="16"/>
        </w:rPr>
      </w:pPr>
    </w:p>
    <w:p w14:paraId="7DEDC702" w14:textId="77777777" w:rsidR="005518D5" w:rsidRPr="004D3DE1" w:rsidRDefault="005518D5" w:rsidP="00820462">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7DEDC703" w14:textId="77777777" w:rsidR="00050FC1" w:rsidRPr="00CF1C17" w:rsidRDefault="00050FC1" w:rsidP="00005E3B">
      <w:pPr>
        <w:rPr>
          <w:rFonts w:asciiTheme="minorHAnsi" w:hAnsiTheme="minorHAnsi"/>
          <w:b/>
          <w:smallCaps/>
          <w:sz w:val="16"/>
          <w:szCs w:val="16"/>
          <w:u w:val="single"/>
        </w:rPr>
      </w:pPr>
    </w:p>
    <w:p w14:paraId="7DEDC704" w14:textId="77777777" w:rsidR="00005E3B" w:rsidRPr="004D3DE1" w:rsidRDefault="00005E3B" w:rsidP="00005E3B">
      <w:pPr>
        <w:rPr>
          <w:rFonts w:ascii="Calibri" w:hAnsi="Calibri"/>
          <w:b/>
          <w:smallCaps/>
          <w:szCs w:val="21"/>
          <w:u w:val="single"/>
        </w:rPr>
      </w:pPr>
      <w:r w:rsidRPr="004D3DE1">
        <w:rPr>
          <w:rFonts w:ascii="Calibri" w:hAnsi="Calibri"/>
          <w:b/>
          <w:smallCaps/>
          <w:szCs w:val="21"/>
          <w:u w:val="single"/>
        </w:rPr>
        <w:t>Syllabi on Web Pages</w:t>
      </w:r>
    </w:p>
    <w:p w14:paraId="7DEDC705" w14:textId="77777777" w:rsidR="009B084E" w:rsidRPr="004D3DE1" w:rsidRDefault="00005E3B" w:rsidP="00820462">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D04F" w14:textId="77777777" w:rsidR="00B616ED" w:rsidRDefault="00B616ED" w:rsidP="000A011C">
      <w:r>
        <w:separator/>
      </w:r>
    </w:p>
  </w:endnote>
  <w:endnote w:type="continuationSeparator" w:id="0">
    <w:p w14:paraId="687B6CEC" w14:textId="77777777" w:rsidR="00B616ED" w:rsidRDefault="00B616ED"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C70A" w14:textId="5700A06E" w:rsidR="000A011C"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B84189">
      <w:rPr>
        <w:rFonts w:asciiTheme="minorHAnsi" w:hAnsiTheme="minorHAnsi" w:cstheme="minorHAnsi"/>
        <w:sz w:val="16"/>
        <w:szCs w:val="20"/>
      </w:rPr>
      <w:t>8</w:t>
    </w:r>
    <w:r w:rsidRPr="00C255E5">
      <w:rPr>
        <w:rFonts w:asciiTheme="minorHAnsi" w:hAnsiTheme="minorHAnsi" w:cstheme="minorHAnsi"/>
        <w:sz w:val="16"/>
        <w:szCs w:val="20"/>
      </w:rPr>
      <w:t>/</w:t>
    </w:r>
    <w:r w:rsidR="00C255E5" w:rsidRPr="00C255E5">
      <w:rPr>
        <w:rFonts w:asciiTheme="minorHAnsi" w:hAnsiTheme="minorHAnsi" w:cstheme="minorHAnsi"/>
        <w:sz w:val="16"/>
        <w:szCs w:val="20"/>
      </w:rPr>
      <w:t>2</w:t>
    </w:r>
    <w:r w:rsidR="00B84189">
      <w:rPr>
        <w:rFonts w:asciiTheme="minorHAnsi" w:hAnsiTheme="minorHAnsi" w:cstheme="minorHAnsi"/>
        <w:sz w:val="16"/>
        <w:szCs w:val="20"/>
      </w:rPr>
      <w:t>1</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B84189">
      <w:rPr>
        <w:rFonts w:asciiTheme="minorHAnsi" w:hAnsiTheme="minorHAnsi" w:cstheme="minorHAnsi"/>
        <w:sz w:val="16"/>
        <w:szCs w:val="20"/>
      </w:rPr>
      <w:t>7</w:t>
    </w:r>
  </w:p>
  <w:p w14:paraId="4E177C18" w14:textId="5D30B841" w:rsidR="003B243F" w:rsidRPr="00C255E5" w:rsidRDefault="003B243F" w:rsidP="00777552">
    <w:pPr>
      <w:pStyle w:val="Footer"/>
      <w:tabs>
        <w:tab w:val="clear" w:pos="4680"/>
        <w:tab w:val="clear" w:pos="9360"/>
        <w:tab w:val="right" w:pos="10512"/>
      </w:tabs>
      <w:rPr>
        <w:rFonts w:asciiTheme="minorHAnsi" w:hAnsiTheme="minorHAnsi" w:cstheme="minorHAnsi"/>
        <w:sz w:val="16"/>
        <w:szCs w:val="20"/>
      </w:rPr>
    </w:pPr>
    <w:r>
      <w:rPr>
        <w:rFonts w:asciiTheme="minorHAnsi" w:hAnsiTheme="minorHAnsi" w:cstheme="minorHAnsi"/>
        <w:sz w:val="16"/>
        <w:szCs w:val="20"/>
      </w:rPr>
      <w:tab/>
    </w:r>
    <w:r w:rsidR="009D7B2F">
      <w:rPr>
        <w:rFonts w:asciiTheme="minorHAnsi" w:hAnsiTheme="minorHAnsi" w:cstheme="minorHAnsi"/>
        <w:sz w:val="16"/>
        <w:szCs w:val="20"/>
      </w:rPr>
      <w:t xml:space="preserve"> </w:t>
    </w:r>
    <w:r w:rsidR="00310223">
      <w:rPr>
        <w:rFonts w:asciiTheme="minorHAnsi" w:hAnsiTheme="minorHAnsi" w:cstheme="minorHAnsi"/>
        <w:sz w:val="16"/>
        <w:szCs w:val="20"/>
      </w:rPr>
      <w:t xml:space="preserve">FAE </w:t>
    </w:r>
    <w:r w:rsidR="009D7B2F">
      <w:rPr>
        <w:rFonts w:asciiTheme="minorHAnsi" w:hAnsiTheme="minorHAnsi" w:cstheme="minorHAnsi"/>
        <w:sz w:val="16"/>
        <w:szCs w:val="20"/>
      </w:rPr>
      <w:t xml:space="preserve">Edits: </w:t>
    </w:r>
    <w:r w:rsidR="004B3866">
      <w:rPr>
        <w:rFonts w:asciiTheme="minorHAnsi" w:hAnsiTheme="minorHAnsi" w:cstheme="minorHAnsi"/>
        <w:sz w:val="16"/>
        <w:szCs w:val="20"/>
      </w:rPr>
      <w:t>7</w:t>
    </w:r>
    <w:r>
      <w:rPr>
        <w:rFonts w:asciiTheme="minorHAnsi" w:hAnsiTheme="minorHAnsi" w:cstheme="minorHAnsi"/>
        <w:sz w:val="16"/>
        <w:szCs w:val="20"/>
      </w:rPr>
      <w:t>/</w:t>
    </w:r>
    <w:r w:rsidR="004B3866">
      <w:rPr>
        <w:rFonts w:asciiTheme="minorHAnsi" w:hAnsiTheme="minorHAnsi" w:cstheme="minorHAnsi"/>
        <w:sz w:val="16"/>
        <w:szCs w:val="20"/>
      </w:rPr>
      <w:t>28</w:t>
    </w:r>
    <w:r w:rsidR="009D7B2F">
      <w:rPr>
        <w:rFonts w:asciiTheme="minorHAnsi" w:hAnsiTheme="minorHAnsi" w:cstheme="minorHAnsi"/>
        <w:sz w:val="16"/>
        <w:szCs w:val="20"/>
      </w:rPr>
      <w:t>/202</w:t>
    </w:r>
    <w:r w:rsidR="004B3866">
      <w:rPr>
        <w:rFonts w:asciiTheme="minorHAnsi" w:hAnsiTheme="minorHAnsi" w:cstheme="minorHAnsi"/>
        <w:sz w:val="16"/>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CFD9" w14:textId="77777777" w:rsidR="00B616ED" w:rsidRDefault="00B616ED" w:rsidP="000A011C">
      <w:r>
        <w:separator/>
      </w:r>
    </w:p>
  </w:footnote>
  <w:footnote w:type="continuationSeparator" w:id="0">
    <w:p w14:paraId="4AE4877C" w14:textId="77777777" w:rsidR="00B616ED" w:rsidRDefault="00B616ED"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11"/>
  </w:num>
  <w:num w:numId="6">
    <w:abstractNumId w:val="1"/>
  </w:num>
  <w:num w:numId="7">
    <w:abstractNumId w:val="4"/>
  </w:num>
  <w:num w:numId="8">
    <w:abstractNumId w:val="9"/>
  </w:num>
  <w:num w:numId="9">
    <w:abstractNumId w:val="6"/>
  </w:num>
  <w:num w:numId="10">
    <w:abstractNumId w:val="12"/>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62"/>
    <w:rsid w:val="00000F3E"/>
    <w:rsid w:val="00005E3B"/>
    <w:rsid w:val="00011D0F"/>
    <w:rsid w:val="0002258C"/>
    <w:rsid w:val="00031BE5"/>
    <w:rsid w:val="000332A0"/>
    <w:rsid w:val="000424BE"/>
    <w:rsid w:val="00050293"/>
    <w:rsid w:val="00050FC1"/>
    <w:rsid w:val="00071CC2"/>
    <w:rsid w:val="000854C9"/>
    <w:rsid w:val="00093203"/>
    <w:rsid w:val="0009726B"/>
    <w:rsid w:val="000A011C"/>
    <w:rsid w:val="000A3540"/>
    <w:rsid w:val="000A396B"/>
    <w:rsid w:val="000A47AE"/>
    <w:rsid w:val="000C050A"/>
    <w:rsid w:val="001013FC"/>
    <w:rsid w:val="00112645"/>
    <w:rsid w:val="00115771"/>
    <w:rsid w:val="0013063D"/>
    <w:rsid w:val="00163E6B"/>
    <w:rsid w:val="00164927"/>
    <w:rsid w:val="00180B98"/>
    <w:rsid w:val="0018189F"/>
    <w:rsid w:val="001B0A16"/>
    <w:rsid w:val="001C7CA6"/>
    <w:rsid w:val="0021100F"/>
    <w:rsid w:val="00231E4B"/>
    <w:rsid w:val="00237CCD"/>
    <w:rsid w:val="002477DB"/>
    <w:rsid w:val="00266CC8"/>
    <w:rsid w:val="002B567F"/>
    <w:rsid w:val="002C18C0"/>
    <w:rsid w:val="002E4742"/>
    <w:rsid w:val="002F72E0"/>
    <w:rsid w:val="00310223"/>
    <w:rsid w:val="00317527"/>
    <w:rsid w:val="00351239"/>
    <w:rsid w:val="00380E7D"/>
    <w:rsid w:val="00384808"/>
    <w:rsid w:val="003B243F"/>
    <w:rsid w:val="003B4984"/>
    <w:rsid w:val="003D2A20"/>
    <w:rsid w:val="00403581"/>
    <w:rsid w:val="00414DD4"/>
    <w:rsid w:val="00422291"/>
    <w:rsid w:val="00453437"/>
    <w:rsid w:val="004B3866"/>
    <w:rsid w:val="004C0B2E"/>
    <w:rsid w:val="004C724D"/>
    <w:rsid w:val="004D3DE1"/>
    <w:rsid w:val="004E14C3"/>
    <w:rsid w:val="004E27B7"/>
    <w:rsid w:val="004F37E0"/>
    <w:rsid w:val="00501B79"/>
    <w:rsid w:val="00525401"/>
    <w:rsid w:val="005518D5"/>
    <w:rsid w:val="00564893"/>
    <w:rsid w:val="00564DE0"/>
    <w:rsid w:val="00584AAF"/>
    <w:rsid w:val="00586595"/>
    <w:rsid w:val="005F22D0"/>
    <w:rsid w:val="00612782"/>
    <w:rsid w:val="006553FF"/>
    <w:rsid w:val="006B5D77"/>
    <w:rsid w:val="006B727F"/>
    <w:rsid w:val="006C7F01"/>
    <w:rsid w:val="006F1A28"/>
    <w:rsid w:val="006F64BC"/>
    <w:rsid w:val="007108CD"/>
    <w:rsid w:val="0071289A"/>
    <w:rsid w:val="0072003B"/>
    <w:rsid w:val="007216F0"/>
    <w:rsid w:val="0074116D"/>
    <w:rsid w:val="00746AB3"/>
    <w:rsid w:val="0076201D"/>
    <w:rsid w:val="00777552"/>
    <w:rsid w:val="00783205"/>
    <w:rsid w:val="007C7E2C"/>
    <w:rsid w:val="007D756C"/>
    <w:rsid w:val="007E2DCB"/>
    <w:rsid w:val="00803035"/>
    <w:rsid w:val="00805D95"/>
    <w:rsid w:val="00814781"/>
    <w:rsid w:val="00820462"/>
    <w:rsid w:val="0087714C"/>
    <w:rsid w:val="008B3722"/>
    <w:rsid w:val="008B3D9E"/>
    <w:rsid w:val="008E5ECD"/>
    <w:rsid w:val="008F70C1"/>
    <w:rsid w:val="009359A7"/>
    <w:rsid w:val="009362B0"/>
    <w:rsid w:val="009827E3"/>
    <w:rsid w:val="009845D7"/>
    <w:rsid w:val="009B084E"/>
    <w:rsid w:val="009D7B2F"/>
    <w:rsid w:val="00A17518"/>
    <w:rsid w:val="00A832E4"/>
    <w:rsid w:val="00AA2361"/>
    <w:rsid w:val="00AD28AC"/>
    <w:rsid w:val="00AE4643"/>
    <w:rsid w:val="00B048B6"/>
    <w:rsid w:val="00B15928"/>
    <w:rsid w:val="00B26D89"/>
    <w:rsid w:val="00B40402"/>
    <w:rsid w:val="00B616ED"/>
    <w:rsid w:val="00B728DE"/>
    <w:rsid w:val="00B76865"/>
    <w:rsid w:val="00B77E9C"/>
    <w:rsid w:val="00B84189"/>
    <w:rsid w:val="00BB6A59"/>
    <w:rsid w:val="00BC08AF"/>
    <w:rsid w:val="00BE37FF"/>
    <w:rsid w:val="00BF37B3"/>
    <w:rsid w:val="00BF61B7"/>
    <w:rsid w:val="00C03326"/>
    <w:rsid w:val="00C255E5"/>
    <w:rsid w:val="00C67B1B"/>
    <w:rsid w:val="00C7069E"/>
    <w:rsid w:val="00CA6138"/>
    <w:rsid w:val="00CB0F9A"/>
    <w:rsid w:val="00CC7207"/>
    <w:rsid w:val="00CF0FD9"/>
    <w:rsid w:val="00CF1C17"/>
    <w:rsid w:val="00D073E3"/>
    <w:rsid w:val="00D13FBF"/>
    <w:rsid w:val="00D4544B"/>
    <w:rsid w:val="00D51431"/>
    <w:rsid w:val="00D54F2C"/>
    <w:rsid w:val="00D670F5"/>
    <w:rsid w:val="00D87A25"/>
    <w:rsid w:val="00D93A6D"/>
    <w:rsid w:val="00DB19B2"/>
    <w:rsid w:val="00DB617C"/>
    <w:rsid w:val="00DC1D5A"/>
    <w:rsid w:val="00E36DAF"/>
    <w:rsid w:val="00E462B7"/>
    <w:rsid w:val="00E46F15"/>
    <w:rsid w:val="00E57C4D"/>
    <w:rsid w:val="00E96B9B"/>
    <w:rsid w:val="00EA2145"/>
    <w:rsid w:val="00ED714F"/>
    <w:rsid w:val="00EF4060"/>
    <w:rsid w:val="00EF4DC5"/>
    <w:rsid w:val="00EF539C"/>
    <w:rsid w:val="00EF74AE"/>
    <w:rsid w:val="00F21BF9"/>
    <w:rsid w:val="00F359DB"/>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DC6A8"/>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564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ndsu.edu/academic-policies/academic-credit/" TargetMode="External"/><Relationship Id="rId13" Type="http://schemas.openxmlformats.org/officeDocument/2006/relationships/hyperlink" Target="https://catalog.ndsu.edu/academic-policies/ferp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talog.ndsu.edu/"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7047</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Nash, Julie</cp:lastModifiedBy>
  <cp:revision>7</cp:revision>
  <cp:lastPrinted>2014-08-19T16:45:00Z</cp:lastPrinted>
  <dcterms:created xsi:type="dcterms:W3CDTF">2023-07-28T19:30:00Z</dcterms:created>
  <dcterms:modified xsi:type="dcterms:W3CDTF">2023-07-28T19:39:00Z</dcterms:modified>
</cp:coreProperties>
</file>