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1F" w:rsidRPr="00B318AC" w:rsidRDefault="00A4671F" w:rsidP="00B318AC">
      <w:pPr>
        <w:jc w:val="center"/>
        <w:rPr>
          <w:b/>
          <w:sz w:val="28"/>
          <w:szCs w:val="28"/>
        </w:rPr>
      </w:pPr>
      <w:bookmarkStart w:id="0" w:name="_GoBack"/>
      <w:bookmarkEnd w:id="0"/>
      <w:r w:rsidRPr="00B318AC">
        <w:rPr>
          <w:b/>
          <w:sz w:val="28"/>
          <w:szCs w:val="28"/>
        </w:rPr>
        <w:t>Grants.Gov</w:t>
      </w:r>
      <w:r w:rsidR="00B318AC" w:rsidRPr="00B318AC">
        <w:rPr>
          <w:b/>
          <w:sz w:val="28"/>
          <w:szCs w:val="28"/>
        </w:rPr>
        <w:t xml:space="preserve"> Workspace</w:t>
      </w:r>
      <w:r w:rsidR="00455624">
        <w:rPr>
          <w:b/>
          <w:sz w:val="28"/>
          <w:szCs w:val="28"/>
        </w:rPr>
        <w:t xml:space="preserve"> (SPA talking points)</w:t>
      </w:r>
      <w:r w:rsidR="00F42213">
        <w:rPr>
          <w:b/>
          <w:sz w:val="28"/>
          <w:szCs w:val="28"/>
        </w:rPr>
        <w:br/>
      </w:r>
    </w:p>
    <w:p w:rsidR="00334CB5" w:rsidRPr="00334CB5" w:rsidRDefault="00334CB5" w:rsidP="00334CB5">
      <w:pPr>
        <w:pStyle w:val="ListParagraph"/>
        <w:numPr>
          <w:ilvl w:val="0"/>
          <w:numId w:val="1"/>
        </w:numPr>
        <w:rPr>
          <w:b/>
          <w:u w:val="single"/>
        </w:rPr>
      </w:pPr>
      <w:r w:rsidRPr="00B318AC">
        <w:rPr>
          <w:b/>
          <w:u w:val="single"/>
        </w:rPr>
        <w:t>User Roles</w:t>
      </w:r>
      <w:r>
        <w:rPr>
          <w:b/>
          <w:u w:val="single"/>
        </w:rPr>
        <w:t>:</w:t>
      </w:r>
    </w:p>
    <w:p w:rsidR="00334CB5" w:rsidRPr="00B318AC" w:rsidRDefault="00334CB5" w:rsidP="00334CB5">
      <w:pPr>
        <w:pStyle w:val="ListParagraph"/>
        <w:numPr>
          <w:ilvl w:val="1"/>
          <w:numId w:val="1"/>
        </w:numPr>
        <w:rPr>
          <w:b/>
          <w:u w:val="single"/>
        </w:rPr>
      </w:pPr>
      <w:r>
        <w:t>MW – Manage Workspace role</w:t>
      </w:r>
    </w:p>
    <w:p w:rsidR="00334CB5" w:rsidRPr="00B318AC" w:rsidRDefault="00334CB5" w:rsidP="00334CB5">
      <w:pPr>
        <w:pStyle w:val="ListParagraph"/>
        <w:numPr>
          <w:ilvl w:val="2"/>
          <w:numId w:val="1"/>
        </w:numPr>
        <w:rPr>
          <w:b/>
          <w:u w:val="single"/>
        </w:rPr>
      </w:pPr>
      <w:r>
        <w:t>Create new workspace and operates as workspace owner</w:t>
      </w:r>
    </w:p>
    <w:p w:rsidR="00334CB5" w:rsidRPr="00B318AC" w:rsidRDefault="00334CB5" w:rsidP="00334CB5">
      <w:pPr>
        <w:pStyle w:val="ListParagraph"/>
        <w:numPr>
          <w:ilvl w:val="1"/>
          <w:numId w:val="1"/>
        </w:numPr>
        <w:rPr>
          <w:b/>
          <w:u w:val="single"/>
        </w:rPr>
      </w:pPr>
      <w:r>
        <w:t>AOR – Authorized Representative (AOR) role</w:t>
      </w:r>
    </w:p>
    <w:p w:rsidR="00334CB5" w:rsidRPr="00B318AC" w:rsidRDefault="00334CB5" w:rsidP="00334CB5">
      <w:pPr>
        <w:pStyle w:val="ListParagraph"/>
        <w:numPr>
          <w:ilvl w:val="2"/>
          <w:numId w:val="1"/>
        </w:numPr>
        <w:rPr>
          <w:b/>
          <w:u w:val="single"/>
        </w:rPr>
      </w:pPr>
      <w:r>
        <w:t>Able to submit applications</w:t>
      </w:r>
    </w:p>
    <w:p w:rsidR="00334CB5" w:rsidRPr="00B318AC" w:rsidRDefault="00334CB5" w:rsidP="00334CB5">
      <w:pPr>
        <w:pStyle w:val="ListParagraph"/>
        <w:numPr>
          <w:ilvl w:val="1"/>
          <w:numId w:val="1"/>
        </w:numPr>
        <w:rPr>
          <w:b/>
          <w:u w:val="single"/>
        </w:rPr>
      </w:pPr>
      <w:r>
        <w:t>No Role – Grants.Gov user with no role</w:t>
      </w:r>
    </w:p>
    <w:p w:rsidR="00334CB5" w:rsidRPr="00334CB5" w:rsidRDefault="00334CB5" w:rsidP="00334CB5">
      <w:pPr>
        <w:pStyle w:val="ListParagraph"/>
        <w:numPr>
          <w:ilvl w:val="2"/>
          <w:numId w:val="1"/>
        </w:numPr>
        <w:rPr>
          <w:b/>
          <w:u w:val="single"/>
        </w:rPr>
      </w:pPr>
      <w:r>
        <w:t>Can only complete and edit individual forms.</w:t>
      </w:r>
      <w:r w:rsidR="00455624">
        <w:br/>
      </w:r>
    </w:p>
    <w:p w:rsidR="00A4671F" w:rsidRPr="00B318AC" w:rsidRDefault="00A4671F" w:rsidP="00A4671F">
      <w:pPr>
        <w:pStyle w:val="ListParagraph"/>
        <w:numPr>
          <w:ilvl w:val="0"/>
          <w:numId w:val="1"/>
        </w:numPr>
        <w:rPr>
          <w:b/>
          <w:u w:val="single"/>
        </w:rPr>
      </w:pPr>
      <w:r w:rsidRPr="00B318AC">
        <w:rPr>
          <w:b/>
          <w:u w:val="single"/>
        </w:rPr>
        <w:t>Workflow</w:t>
      </w:r>
      <w:r w:rsidR="00334CB5">
        <w:rPr>
          <w:b/>
          <w:u w:val="single"/>
        </w:rPr>
        <w:t>:</w:t>
      </w:r>
    </w:p>
    <w:p w:rsidR="00A4671F" w:rsidRDefault="00A4671F" w:rsidP="00A4671F">
      <w:pPr>
        <w:pStyle w:val="ListParagraph"/>
        <w:numPr>
          <w:ilvl w:val="1"/>
          <w:numId w:val="1"/>
        </w:numPr>
      </w:pPr>
      <w:r>
        <w:t>User registers with grants.gov and AOR grants role</w:t>
      </w:r>
      <w:r w:rsidR="00334CB5">
        <w:t xml:space="preserve"> </w:t>
      </w:r>
    </w:p>
    <w:p w:rsidR="00A4671F" w:rsidRDefault="00A4671F" w:rsidP="00A4671F">
      <w:pPr>
        <w:pStyle w:val="ListParagraph"/>
        <w:numPr>
          <w:ilvl w:val="1"/>
          <w:numId w:val="1"/>
        </w:numPr>
      </w:pPr>
      <w:r>
        <w:t>User with “Workspace Role” creates a workspace by downloading funding opportunity notice</w:t>
      </w:r>
    </w:p>
    <w:p w:rsidR="00A4671F" w:rsidRDefault="00A4671F" w:rsidP="00A4671F">
      <w:pPr>
        <w:pStyle w:val="ListParagraph"/>
        <w:numPr>
          <w:ilvl w:val="1"/>
          <w:numId w:val="1"/>
        </w:numPr>
      </w:pPr>
      <w:r>
        <w:t>Workspace owner adds “participants” as needed to assist with form completion</w:t>
      </w:r>
    </w:p>
    <w:p w:rsidR="00A4671F" w:rsidRDefault="00A4671F" w:rsidP="00A4671F">
      <w:pPr>
        <w:pStyle w:val="ListParagraph"/>
        <w:numPr>
          <w:ilvl w:val="2"/>
          <w:numId w:val="1"/>
        </w:numPr>
      </w:pPr>
      <w:r>
        <w:t xml:space="preserve">Forms can be locked </w:t>
      </w:r>
    </w:p>
    <w:p w:rsidR="00A4671F" w:rsidRDefault="00A4671F" w:rsidP="00A4671F">
      <w:pPr>
        <w:pStyle w:val="ListParagraph"/>
        <w:numPr>
          <w:ilvl w:val="1"/>
          <w:numId w:val="1"/>
        </w:numPr>
      </w:pPr>
      <w:r>
        <w:t>Forms are completed by either downloading one by one or by online completion.</w:t>
      </w:r>
    </w:p>
    <w:p w:rsidR="00A4671F" w:rsidRDefault="00A4671F" w:rsidP="00A4671F">
      <w:pPr>
        <w:pStyle w:val="ListParagraph"/>
        <w:numPr>
          <w:ilvl w:val="2"/>
          <w:numId w:val="1"/>
        </w:numPr>
      </w:pPr>
      <w:r>
        <w:t xml:space="preserve">Complete all forms and correct any errors. </w:t>
      </w:r>
    </w:p>
    <w:p w:rsidR="00A4671F" w:rsidRDefault="00A4671F" w:rsidP="00A4671F">
      <w:pPr>
        <w:pStyle w:val="ListParagraph"/>
        <w:numPr>
          <w:ilvl w:val="2"/>
          <w:numId w:val="1"/>
        </w:numPr>
      </w:pPr>
      <w:r>
        <w:t xml:space="preserve">Once all forms are completed and application is error free, a “Complete and Notify AOR” button appears.  User clicks on this button and application and AOR is notified. </w:t>
      </w:r>
    </w:p>
    <w:p w:rsidR="00A4671F" w:rsidRDefault="00A4671F" w:rsidP="00A4671F">
      <w:pPr>
        <w:pStyle w:val="ListParagraph"/>
        <w:numPr>
          <w:ilvl w:val="1"/>
          <w:numId w:val="1"/>
        </w:numPr>
      </w:pPr>
      <w:r>
        <w:t>AOR either re-opens application for further editing or can sign and submit.</w:t>
      </w:r>
    </w:p>
    <w:p w:rsidR="00A4671F" w:rsidRDefault="00A4671F" w:rsidP="00A4671F">
      <w:pPr>
        <w:pStyle w:val="ListParagraph"/>
        <w:numPr>
          <w:ilvl w:val="2"/>
          <w:numId w:val="1"/>
        </w:numPr>
      </w:pPr>
      <w:r>
        <w:t>“Re-Open” button is activated.</w:t>
      </w:r>
    </w:p>
    <w:p w:rsidR="00334CB5" w:rsidRPr="00455624" w:rsidRDefault="00A4671F" w:rsidP="00455624">
      <w:pPr>
        <w:pStyle w:val="ListParagraph"/>
        <w:numPr>
          <w:ilvl w:val="2"/>
          <w:numId w:val="1"/>
        </w:numPr>
      </w:pPr>
      <w:r>
        <w:t>“Sign and Submit”</w:t>
      </w:r>
      <w:r w:rsidR="00B318AC">
        <w:t xml:space="preserve"> button</w:t>
      </w:r>
      <w:r>
        <w:t xml:space="preserve"> is activated.</w:t>
      </w:r>
      <w:r w:rsidR="00455624">
        <w:t xml:space="preserve"> </w:t>
      </w:r>
      <w:r w:rsidR="00334CB5">
        <w:br/>
      </w:r>
    </w:p>
    <w:p w:rsidR="00334CB5" w:rsidRDefault="00334CB5" w:rsidP="00334CB5">
      <w:pPr>
        <w:pStyle w:val="ListParagraph"/>
        <w:numPr>
          <w:ilvl w:val="0"/>
          <w:numId w:val="3"/>
        </w:numPr>
        <w:rPr>
          <w:b/>
          <w:u w:val="single"/>
        </w:rPr>
      </w:pPr>
      <w:r>
        <w:rPr>
          <w:b/>
          <w:u w:val="single"/>
        </w:rPr>
        <w:t>Reuse Forms:</w:t>
      </w:r>
    </w:p>
    <w:p w:rsidR="00334CB5" w:rsidRDefault="00334CB5" w:rsidP="00334CB5">
      <w:pPr>
        <w:pStyle w:val="ListParagraph"/>
        <w:numPr>
          <w:ilvl w:val="1"/>
          <w:numId w:val="3"/>
        </w:numPr>
        <w:rPr>
          <w:b/>
          <w:u w:val="single"/>
        </w:rPr>
      </w:pPr>
      <w:r>
        <w:t>Completed forms can</w:t>
      </w:r>
      <w:r w:rsidR="00F42213">
        <w:t xml:space="preserve"> be uploaded into a new workspace in order to be used in a new application.</w:t>
      </w:r>
      <w:r>
        <w:rPr>
          <w:b/>
          <w:u w:val="single"/>
        </w:rPr>
        <w:br/>
      </w:r>
    </w:p>
    <w:p w:rsidR="00334CB5" w:rsidRDefault="00334CB5" w:rsidP="00334CB5">
      <w:pPr>
        <w:pStyle w:val="ListParagraph"/>
        <w:numPr>
          <w:ilvl w:val="0"/>
          <w:numId w:val="3"/>
        </w:numPr>
        <w:rPr>
          <w:b/>
          <w:u w:val="single"/>
        </w:rPr>
      </w:pPr>
      <w:r>
        <w:rPr>
          <w:b/>
          <w:u w:val="single"/>
        </w:rPr>
        <w:lastRenderedPageBreak/>
        <w:t>Resources:</w:t>
      </w:r>
    </w:p>
    <w:p w:rsidR="00334CB5" w:rsidRDefault="00334CB5" w:rsidP="00334CB5">
      <w:pPr>
        <w:pStyle w:val="ListParagraph"/>
        <w:numPr>
          <w:ilvl w:val="1"/>
          <w:numId w:val="3"/>
        </w:numPr>
        <w:rPr>
          <w:b/>
          <w:u w:val="single"/>
        </w:rPr>
      </w:pPr>
      <w:r>
        <w:t>Grants.Gov Training Videos:</w:t>
      </w:r>
    </w:p>
    <w:p w:rsidR="00334CB5" w:rsidRDefault="00C8551F" w:rsidP="00334CB5">
      <w:pPr>
        <w:pStyle w:val="ListParagraph"/>
        <w:ind w:firstLine="720"/>
        <w:rPr>
          <w:b/>
          <w:u w:val="single"/>
        </w:rPr>
      </w:pPr>
      <w:hyperlink r:id="rId5" w:history="1">
        <w:r w:rsidR="00F42213" w:rsidRPr="006272FF">
          <w:rPr>
            <w:rStyle w:val="Hyperlink"/>
            <w:b/>
          </w:rPr>
          <w:t>https://www.grants.gov/web/grants/applicants/applicant-training.html</w:t>
        </w:r>
      </w:hyperlink>
    </w:p>
    <w:p w:rsidR="00F42213" w:rsidRDefault="00F42213" w:rsidP="00334CB5">
      <w:pPr>
        <w:pStyle w:val="ListParagraph"/>
        <w:ind w:firstLine="720"/>
        <w:rPr>
          <w:b/>
          <w:u w:val="single"/>
        </w:rPr>
      </w:pPr>
    </w:p>
    <w:p w:rsidR="00F42213" w:rsidRDefault="00F42213" w:rsidP="00334CB5">
      <w:pPr>
        <w:pStyle w:val="ListParagraph"/>
        <w:ind w:firstLine="720"/>
        <w:rPr>
          <w:b/>
          <w:u w:val="single"/>
        </w:rPr>
      </w:pPr>
    </w:p>
    <w:p w:rsidR="00F42213" w:rsidRDefault="00F42213" w:rsidP="00334CB5">
      <w:pPr>
        <w:pStyle w:val="ListParagraph"/>
        <w:ind w:firstLine="720"/>
        <w:rPr>
          <w:b/>
          <w:u w:val="single"/>
        </w:rPr>
      </w:pPr>
    </w:p>
    <w:p w:rsidR="00455624" w:rsidRDefault="00455624" w:rsidP="00334CB5">
      <w:pPr>
        <w:pStyle w:val="ListParagraph"/>
        <w:ind w:firstLine="720"/>
        <w:rPr>
          <w:b/>
          <w:u w:val="single"/>
        </w:rPr>
      </w:pPr>
    </w:p>
    <w:p w:rsidR="00455624" w:rsidRDefault="00455624" w:rsidP="00334CB5">
      <w:pPr>
        <w:pStyle w:val="ListParagraph"/>
        <w:ind w:firstLine="720"/>
        <w:rPr>
          <w:b/>
          <w:u w:val="single"/>
        </w:rPr>
      </w:pPr>
    </w:p>
    <w:p w:rsidR="00455624" w:rsidRDefault="00455624" w:rsidP="00334CB5">
      <w:pPr>
        <w:pStyle w:val="ListParagraph"/>
        <w:ind w:firstLine="720"/>
        <w:rPr>
          <w:b/>
          <w:u w:val="single"/>
        </w:rPr>
      </w:pPr>
    </w:p>
    <w:p w:rsidR="00455624" w:rsidRDefault="00455624" w:rsidP="00334CB5">
      <w:pPr>
        <w:pStyle w:val="ListParagraph"/>
        <w:ind w:firstLine="720"/>
        <w:rPr>
          <w:b/>
          <w:u w:val="single"/>
        </w:rPr>
      </w:pPr>
    </w:p>
    <w:p w:rsidR="00455624" w:rsidRDefault="00455624" w:rsidP="00334CB5">
      <w:pPr>
        <w:pStyle w:val="ListParagraph"/>
        <w:ind w:firstLine="720"/>
        <w:rPr>
          <w:b/>
          <w:u w:val="single"/>
        </w:rPr>
      </w:pPr>
    </w:p>
    <w:p w:rsidR="00455624" w:rsidRDefault="00455624" w:rsidP="00334CB5">
      <w:pPr>
        <w:pStyle w:val="ListParagraph"/>
        <w:ind w:firstLine="720"/>
        <w:rPr>
          <w:b/>
          <w:u w:val="single"/>
        </w:rPr>
      </w:pPr>
    </w:p>
    <w:p w:rsidR="00455624" w:rsidRDefault="00455624" w:rsidP="00334CB5">
      <w:pPr>
        <w:pStyle w:val="ListParagraph"/>
        <w:ind w:firstLine="720"/>
        <w:rPr>
          <w:b/>
          <w:u w:val="single"/>
        </w:rPr>
      </w:pPr>
    </w:p>
    <w:p w:rsidR="00455624" w:rsidRDefault="00455624" w:rsidP="00334CB5">
      <w:pPr>
        <w:pStyle w:val="ListParagraph"/>
        <w:ind w:firstLine="720"/>
        <w:rPr>
          <w:b/>
          <w:u w:val="single"/>
        </w:rPr>
      </w:pPr>
    </w:p>
    <w:p w:rsidR="00F42213" w:rsidRPr="00FC7817" w:rsidRDefault="00455624" w:rsidP="00455624">
      <w:pPr>
        <w:pStyle w:val="Heading1"/>
        <w:shd w:val="clear" w:color="auto" w:fill="FFFFFF"/>
        <w:spacing w:before="0" w:beforeAutospacing="0" w:after="0" w:afterAutospacing="0"/>
        <w:jc w:val="center"/>
        <w:rPr>
          <w:rFonts w:asciiTheme="minorHAnsi" w:hAnsiTheme="minorHAnsi" w:cstheme="minorHAnsi"/>
          <w:bCs w:val="0"/>
          <w:color w:val="000000"/>
          <w:sz w:val="28"/>
          <w:szCs w:val="28"/>
        </w:rPr>
      </w:pPr>
      <w:r>
        <w:rPr>
          <w:rFonts w:asciiTheme="minorHAnsi" w:hAnsiTheme="minorHAnsi" w:cstheme="minorHAnsi"/>
          <w:bCs w:val="0"/>
          <w:color w:val="000000"/>
          <w:sz w:val="28"/>
          <w:szCs w:val="28"/>
        </w:rPr>
        <w:t>Grants.Gov Workspace - S</w:t>
      </w:r>
      <w:r w:rsidR="00F42213" w:rsidRPr="00FC7817">
        <w:rPr>
          <w:rFonts w:asciiTheme="minorHAnsi" w:hAnsiTheme="minorHAnsi" w:cstheme="minorHAnsi"/>
          <w:bCs w:val="0"/>
          <w:color w:val="000000"/>
          <w:sz w:val="28"/>
          <w:szCs w:val="28"/>
        </w:rPr>
        <w:t>tep-by-Step</w:t>
      </w:r>
      <w:r w:rsidR="00FC7817" w:rsidRPr="00FC7817">
        <w:rPr>
          <w:rFonts w:asciiTheme="minorHAnsi" w:hAnsiTheme="minorHAnsi" w:cstheme="minorHAnsi"/>
          <w:bCs w:val="0"/>
          <w:color w:val="000000"/>
          <w:sz w:val="28"/>
          <w:szCs w:val="28"/>
        </w:rPr>
        <w:t xml:space="preserve"> Approach:</w:t>
      </w:r>
    </w:p>
    <w:p w:rsidR="00F42213" w:rsidRPr="00F42213" w:rsidRDefault="00F42213" w:rsidP="00F42213">
      <w:pPr>
        <w:rPr>
          <w:rFonts w:cstheme="minorHAnsi"/>
        </w:rPr>
      </w:pP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t>1. Make sure all team members and external contributors have registered with Grants.gov</w:t>
      </w:r>
    </w:p>
    <w:p w:rsidR="00F42213" w:rsidRPr="00F42213" w:rsidRDefault="00455624" w:rsidP="00F42213">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r>
        <w:rPr>
          <w:rFonts w:asciiTheme="minorHAnsi" w:eastAsiaTheme="minorHAnsi" w:hAnsiTheme="minorHAnsi" w:cstheme="minorHAnsi"/>
          <w:color w:val="363636"/>
          <w:sz w:val="22"/>
          <w:szCs w:val="22"/>
        </w:rPr>
        <w:br/>
      </w:r>
      <w:r w:rsidR="00F42213" w:rsidRPr="00F42213">
        <w:rPr>
          <w:rFonts w:asciiTheme="minorHAnsi" w:hAnsiTheme="minorHAnsi" w:cstheme="minorHAnsi"/>
          <w:color w:val="363636"/>
          <w:sz w:val="22"/>
          <w:szCs w:val="22"/>
        </w:rPr>
        <w:t>Without a Grants.gov account, team members or external contributors will not be able to access the workspace and fill out application webforms. For example, if you want seven different individuals to help complete webforms, then all seven should </w:t>
      </w:r>
      <w:hyperlink r:id="rId6" w:tgtFrame="_blank" w:history="1">
        <w:r w:rsidR="00F42213" w:rsidRPr="00F42213">
          <w:rPr>
            <w:rStyle w:val="Hyperlink"/>
            <w:rFonts w:asciiTheme="minorHAnsi" w:hAnsiTheme="minorHAnsi" w:cstheme="minorHAnsi"/>
            <w:color w:val="0000CC"/>
            <w:sz w:val="22"/>
            <w:szCs w:val="22"/>
          </w:rPr>
          <w:t>register a Grants.gov account.</w:t>
        </w:r>
      </w:hyperlink>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t>2. Design an internal application workflow and assign responsibilities to your team members and external contributors</w:t>
      </w:r>
    </w:p>
    <w:p w:rsidR="00F42213" w:rsidRPr="00F42213" w:rsidRDefault="00F42213" w:rsidP="00F42213">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r>
        <w:rPr>
          <w:rFonts w:asciiTheme="minorHAnsi" w:eastAsiaTheme="minorHAnsi" w:hAnsiTheme="minorHAnsi" w:cstheme="minorHAnsi"/>
          <w:color w:val="363636"/>
          <w:sz w:val="22"/>
          <w:szCs w:val="22"/>
        </w:rPr>
        <w:br/>
      </w:r>
      <w:r w:rsidRPr="00F42213">
        <w:rPr>
          <w:rFonts w:asciiTheme="minorHAnsi" w:hAnsiTheme="minorHAnsi" w:cstheme="minorHAnsi"/>
          <w:color w:val="363636"/>
          <w:sz w:val="22"/>
          <w:szCs w:val="22"/>
        </w:rPr>
        <w:t>Use our </w:t>
      </w:r>
      <w:hyperlink r:id="rId7" w:tgtFrame="_blank" w:history="1">
        <w:r w:rsidRPr="00F42213">
          <w:rPr>
            <w:rStyle w:val="Hyperlink"/>
            <w:rFonts w:asciiTheme="minorHAnsi" w:hAnsiTheme="minorHAnsi" w:cstheme="minorHAnsi"/>
            <w:color w:val="0000CC"/>
            <w:sz w:val="22"/>
            <w:szCs w:val="22"/>
          </w:rPr>
          <w:t>interactive workflow</w:t>
        </w:r>
      </w:hyperlink>
      <w:r w:rsidRPr="00F42213">
        <w:rPr>
          <w:rFonts w:asciiTheme="minorHAnsi" w:hAnsiTheme="minorHAnsi" w:cstheme="minorHAnsi"/>
          <w:color w:val="363636"/>
          <w:sz w:val="22"/>
          <w:szCs w:val="22"/>
        </w:rPr>
        <w:t> graphic and  </w:t>
      </w:r>
      <w:hyperlink r:id="rId8" w:tgtFrame="_blank" w:history="1">
        <w:r w:rsidRPr="00F42213">
          <w:rPr>
            <w:rStyle w:val="Hyperlink"/>
            <w:rFonts w:asciiTheme="minorHAnsi" w:hAnsiTheme="minorHAnsi" w:cstheme="minorHAnsi"/>
            <w:color w:val="0000CC"/>
            <w:sz w:val="22"/>
            <w:szCs w:val="22"/>
          </w:rPr>
          <w:t>Workspace roles and access </w:t>
        </w:r>
      </w:hyperlink>
      <w:r w:rsidRPr="00F42213">
        <w:rPr>
          <w:rFonts w:asciiTheme="minorHAnsi" w:hAnsiTheme="minorHAnsi" w:cstheme="minorHAnsi"/>
          <w:color w:val="363636"/>
          <w:sz w:val="22"/>
          <w:szCs w:val="22"/>
        </w:rPr>
        <w:t>chart to help you design your application plan. For example, you will want at least one "participant" to have the Manage Workspace role, so that he or she can create the workspace. You will also want a participant who has the AOR role, so that the application can be submitted when it has been completed.</w:t>
      </w:r>
      <w:r w:rsidRPr="00F42213">
        <w:rPr>
          <w:rFonts w:cstheme="minorHAnsi"/>
          <w:color w:val="363636"/>
        </w:rPr>
        <w:t xml:space="preserve"> </w:t>
      </w: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lastRenderedPageBreak/>
        <w:t>3. Log in and create your workspace from the Package tab on the View Grant Opportunity page</w:t>
      </w:r>
    </w:p>
    <w:p w:rsidR="00F42213" w:rsidRPr="00F42213" w:rsidRDefault="00455624" w:rsidP="00F42213">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r>
        <w:rPr>
          <w:rFonts w:asciiTheme="minorHAnsi" w:eastAsiaTheme="minorHAnsi" w:hAnsiTheme="minorHAnsi" w:cstheme="minorHAnsi"/>
          <w:color w:val="363636"/>
          <w:sz w:val="22"/>
          <w:szCs w:val="22"/>
        </w:rPr>
        <w:br/>
      </w:r>
      <w:r w:rsidR="00F42213" w:rsidRPr="00F42213">
        <w:rPr>
          <w:rFonts w:asciiTheme="minorHAnsi" w:hAnsiTheme="minorHAnsi" w:cstheme="minorHAnsi"/>
          <w:color w:val="363636"/>
          <w:sz w:val="22"/>
          <w:szCs w:val="22"/>
        </w:rPr>
        <w:t>Any user with the Manage Workspace role may create the workspace. The user who creates the workspace will automatically become the Workspace Owner.</w:t>
      </w: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t>4. Add team members from your organization as "Participants" so they can access the application forms</w:t>
      </w:r>
    </w:p>
    <w:p w:rsidR="00F42213" w:rsidRPr="00F42213" w:rsidRDefault="00455624" w:rsidP="00F42213">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r>
        <w:rPr>
          <w:rFonts w:asciiTheme="minorHAnsi" w:eastAsiaTheme="minorHAnsi" w:hAnsiTheme="minorHAnsi" w:cstheme="minorHAnsi"/>
          <w:color w:val="363636"/>
          <w:sz w:val="22"/>
          <w:szCs w:val="22"/>
        </w:rPr>
        <w:br/>
      </w:r>
      <w:r w:rsidR="00F42213" w:rsidRPr="00F42213">
        <w:rPr>
          <w:rFonts w:asciiTheme="minorHAnsi" w:hAnsiTheme="minorHAnsi" w:cstheme="minorHAnsi"/>
          <w:color w:val="363636"/>
          <w:sz w:val="22"/>
          <w:szCs w:val="22"/>
        </w:rPr>
        <w:t>The Workspace Owner (an access level automatically assigned to the user who creates the workspace) should add Participants to the worksapce. At least one Participant should have the AOR role so that the workspace can be submitted.</w:t>
      </w: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t>5. Add any additional Participants who are registered with Grants.gov, though not part of your organization</w:t>
      </w:r>
    </w:p>
    <w:p w:rsidR="00F42213" w:rsidRPr="00F42213" w:rsidRDefault="00F42213" w:rsidP="00F42213">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r>
        <w:rPr>
          <w:rFonts w:asciiTheme="minorHAnsi" w:eastAsiaTheme="minorHAnsi" w:hAnsiTheme="minorHAnsi" w:cstheme="minorHAnsi"/>
          <w:color w:val="363636"/>
          <w:sz w:val="22"/>
          <w:szCs w:val="22"/>
        </w:rPr>
        <w:br/>
      </w:r>
      <w:r w:rsidRPr="00F42213">
        <w:rPr>
          <w:rFonts w:asciiTheme="minorHAnsi" w:hAnsiTheme="minorHAnsi" w:cstheme="minorHAnsi"/>
          <w:color w:val="363636"/>
          <w:sz w:val="22"/>
          <w:szCs w:val="22"/>
        </w:rPr>
        <w:t>The Workspace Owner can add any external contributors to the workspace as long as they have registered with Grants.gov.</w:t>
      </w: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t>6. Limit budget form access to only the Participants who need it</w:t>
      </w:r>
    </w:p>
    <w:p w:rsidR="00F42213" w:rsidRPr="00F42213" w:rsidRDefault="00F42213" w:rsidP="00F42213">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r>
        <w:rPr>
          <w:rFonts w:asciiTheme="minorHAnsi" w:eastAsiaTheme="minorHAnsi" w:hAnsiTheme="minorHAnsi" w:cstheme="minorHAnsi"/>
          <w:color w:val="363636"/>
          <w:sz w:val="22"/>
          <w:szCs w:val="22"/>
        </w:rPr>
        <w:br/>
      </w:r>
      <w:r w:rsidRPr="00F42213">
        <w:rPr>
          <w:rFonts w:asciiTheme="minorHAnsi" w:hAnsiTheme="minorHAnsi" w:cstheme="minorHAnsi"/>
          <w:color w:val="363636"/>
          <w:sz w:val="22"/>
          <w:szCs w:val="22"/>
        </w:rPr>
        <w:t>The Workspace Owner may want to control access to sensitive budget forms. This is most conveniently done when adding individual participants to the workspace.</w:t>
      </w:r>
      <w:r w:rsidRPr="00F42213">
        <w:rPr>
          <w:rFonts w:cstheme="minorHAnsi"/>
          <w:color w:val="363636"/>
        </w:rPr>
        <w:t xml:space="preserve"> </w:t>
      </w: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t>7. Add subforms to your workspace so that sub-applicants can easily find and complete them</w:t>
      </w:r>
    </w:p>
    <w:p w:rsidR="00F42213" w:rsidRDefault="00455624" w:rsidP="00FC7817">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r>
        <w:rPr>
          <w:rFonts w:asciiTheme="minorHAnsi" w:eastAsiaTheme="minorHAnsi" w:hAnsiTheme="minorHAnsi" w:cstheme="minorHAnsi"/>
          <w:b/>
          <w:color w:val="363636"/>
          <w:sz w:val="22"/>
          <w:szCs w:val="22"/>
        </w:rPr>
        <w:br/>
      </w:r>
      <w:r w:rsidR="00F42213" w:rsidRPr="00455624">
        <w:rPr>
          <w:rFonts w:asciiTheme="minorHAnsi" w:hAnsiTheme="minorHAnsi" w:cstheme="minorHAnsi"/>
          <w:color w:val="363636"/>
          <w:sz w:val="22"/>
          <w:szCs w:val="22"/>
        </w:rPr>
        <w:t>Some workspace forms contain subforms that must be filled out separately from the "parent" form. Participants can access and enable a package's subforms by clicking the Manage Subforms link in the Form Name column on the Forms tab of the Manage Workspace page.</w:t>
      </w:r>
    </w:p>
    <w:p w:rsidR="00455624" w:rsidRDefault="00455624" w:rsidP="00FC7817">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p>
    <w:p w:rsidR="00455624" w:rsidRPr="00455624" w:rsidRDefault="00455624" w:rsidP="00FC7817">
      <w:pPr>
        <w:pStyle w:val="NormalWeb"/>
        <w:shd w:val="clear" w:color="auto" w:fill="FFFFFF"/>
        <w:spacing w:before="0" w:beforeAutospacing="0" w:after="240" w:afterAutospacing="0" w:line="270" w:lineRule="atLeast"/>
        <w:rPr>
          <w:rFonts w:asciiTheme="minorHAnsi" w:hAnsiTheme="minorHAnsi" w:cstheme="minorHAnsi"/>
          <w:bCs/>
          <w:i/>
          <w:iCs/>
          <w:color w:val="363636"/>
          <w:sz w:val="22"/>
          <w:szCs w:val="22"/>
        </w:rPr>
      </w:pP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lastRenderedPageBreak/>
        <w:t>8. Reuse forms from previous workspaces</w:t>
      </w:r>
    </w:p>
    <w:p w:rsidR="00F42213" w:rsidRPr="00FC7817" w:rsidRDefault="00455624" w:rsidP="00FC7817">
      <w:pPr>
        <w:pStyle w:val="NormalWeb"/>
        <w:shd w:val="clear" w:color="auto" w:fill="FFFFFF"/>
        <w:spacing w:before="0" w:beforeAutospacing="0" w:after="240" w:afterAutospacing="0" w:line="270" w:lineRule="atLeast"/>
        <w:rPr>
          <w:rFonts w:asciiTheme="minorHAnsi" w:hAnsiTheme="minorHAnsi" w:cstheme="minorHAnsi"/>
          <w:b/>
          <w:bCs/>
          <w:i/>
          <w:iCs/>
          <w:color w:val="363636"/>
          <w:sz w:val="22"/>
          <w:szCs w:val="22"/>
        </w:rPr>
      </w:pPr>
      <w:r>
        <w:rPr>
          <w:rFonts w:asciiTheme="minorHAnsi" w:eastAsiaTheme="minorHAnsi" w:hAnsiTheme="minorHAnsi" w:cstheme="minorHAnsi"/>
          <w:color w:val="363636"/>
          <w:sz w:val="22"/>
          <w:szCs w:val="22"/>
        </w:rPr>
        <w:br/>
      </w:r>
      <w:r w:rsidR="00F42213" w:rsidRPr="00F42213">
        <w:rPr>
          <w:rFonts w:asciiTheme="minorHAnsi" w:hAnsiTheme="minorHAnsi" w:cstheme="minorHAnsi"/>
          <w:color w:val="363636"/>
          <w:sz w:val="22"/>
          <w:szCs w:val="22"/>
        </w:rPr>
        <w:t>Applicants may choose to reuse forms (or even an entire workspace). When a form is reused, the information on the form's cover sheet will be updated to match the current workspace. Other form data will not be changed. Also note, after a form is reused, any data in the new workspace form will be overwritten.</w:t>
      </w: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t>9. Complete all required forms that remain</w:t>
      </w:r>
    </w:p>
    <w:p w:rsidR="00F42213" w:rsidRPr="00F42213" w:rsidRDefault="00455624" w:rsidP="00FC7817">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r>
        <w:rPr>
          <w:rFonts w:asciiTheme="minorHAnsi" w:eastAsiaTheme="minorHAnsi" w:hAnsiTheme="minorHAnsi" w:cstheme="minorHAnsi"/>
          <w:color w:val="363636"/>
          <w:sz w:val="22"/>
          <w:szCs w:val="22"/>
        </w:rPr>
        <w:br/>
      </w:r>
      <w:r w:rsidR="00F42213" w:rsidRPr="00F42213">
        <w:rPr>
          <w:rFonts w:asciiTheme="minorHAnsi" w:hAnsiTheme="minorHAnsi" w:cstheme="minorHAnsi"/>
          <w:color w:val="363636"/>
          <w:sz w:val="22"/>
          <w:szCs w:val="22"/>
        </w:rPr>
        <w:t>Applicants may choose to complete either the PDF version </w:t>
      </w:r>
      <w:hyperlink r:id="rId9" w:tgtFrame="_blank" w:history="1">
        <w:r w:rsidR="00F42213" w:rsidRPr="00F42213">
          <w:rPr>
            <w:rStyle w:val="Hyperlink"/>
            <w:rFonts w:asciiTheme="minorHAnsi" w:hAnsiTheme="minorHAnsi" w:cstheme="minorHAnsi"/>
            <w:color w:val="0000CC"/>
            <w:sz w:val="22"/>
            <w:szCs w:val="22"/>
          </w:rPr>
          <w:t>or the webform version</w:t>
        </w:r>
      </w:hyperlink>
      <w:r w:rsidR="00F42213" w:rsidRPr="00F42213">
        <w:rPr>
          <w:rFonts w:asciiTheme="minorHAnsi" w:hAnsiTheme="minorHAnsi" w:cstheme="minorHAnsi"/>
          <w:color w:val="363636"/>
          <w:sz w:val="22"/>
          <w:szCs w:val="22"/>
          <w:u w:val="single"/>
        </w:rPr>
        <w:t> </w:t>
      </w:r>
      <w:r w:rsidR="00F42213" w:rsidRPr="00F42213">
        <w:rPr>
          <w:rFonts w:asciiTheme="minorHAnsi" w:hAnsiTheme="minorHAnsi" w:cstheme="minorHAnsi"/>
          <w:color w:val="363636"/>
          <w:sz w:val="22"/>
          <w:szCs w:val="22"/>
        </w:rPr>
        <w:t>of each form. They may also switch between form types. Data is synced to the workspace upon uploading the PDF forms and upon saving the webforms. Grants.gov recommends that the person completing each form locks access to it, so that others cannot overwrite the work.</w:t>
      </w:r>
      <w:r w:rsidR="00FC7817" w:rsidRPr="00F42213">
        <w:rPr>
          <w:rFonts w:cstheme="minorHAnsi"/>
          <w:color w:val="363636"/>
        </w:rPr>
        <w:t xml:space="preserve"> </w:t>
      </w: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t>10. When all forms have been completed, the AOR can be notified and the application submitted</w:t>
      </w:r>
    </w:p>
    <w:p w:rsidR="00F42213" w:rsidRPr="00F42213" w:rsidRDefault="00455624" w:rsidP="00FC7817">
      <w:pPr>
        <w:pStyle w:val="NormalWeb"/>
        <w:shd w:val="clear" w:color="auto" w:fill="FFFFFF"/>
        <w:spacing w:before="0" w:beforeAutospacing="0" w:after="240" w:afterAutospacing="0" w:line="270" w:lineRule="atLeast"/>
        <w:rPr>
          <w:rFonts w:asciiTheme="minorHAnsi" w:hAnsiTheme="minorHAnsi" w:cstheme="minorHAnsi"/>
          <w:color w:val="363636"/>
          <w:sz w:val="22"/>
          <w:szCs w:val="22"/>
        </w:rPr>
      </w:pPr>
      <w:r>
        <w:rPr>
          <w:rFonts w:asciiTheme="minorHAnsi" w:eastAsiaTheme="minorHAnsi" w:hAnsiTheme="minorHAnsi" w:cstheme="minorHAnsi"/>
          <w:color w:val="363636"/>
          <w:sz w:val="22"/>
          <w:szCs w:val="22"/>
        </w:rPr>
        <w:br/>
      </w:r>
      <w:r w:rsidR="00F42213" w:rsidRPr="00F42213">
        <w:rPr>
          <w:rFonts w:asciiTheme="minorHAnsi" w:hAnsiTheme="minorHAnsi" w:cstheme="minorHAnsi"/>
          <w:color w:val="363636"/>
          <w:sz w:val="22"/>
          <w:szCs w:val="22"/>
        </w:rPr>
        <w:t>Workspace performs some error checks on form fields automatically. Other checks are run by clicking the Check For Errors button within the workspace. When the application is ready, the Workspace Owner has the option of clicking the </w:t>
      </w:r>
      <w:hyperlink r:id="rId10" w:tgtFrame="_blank" w:history="1">
        <w:r w:rsidR="00F42213" w:rsidRPr="00F42213">
          <w:rPr>
            <w:rStyle w:val="Hyperlink"/>
            <w:rFonts w:asciiTheme="minorHAnsi" w:hAnsiTheme="minorHAnsi" w:cstheme="minorHAnsi"/>
            <w:color w:val="0000CC"/>
            <w:sz w:val="22"/>
            <w:szCs w:val="22"/>
          </w:rPr>
          <w:t>Complete and Notify AOR button</w:t>
        </w:r>
      </w:hyperlink>
      <w:r w:rsidR="00F42213" w:rsidRPr="00F42213">
        <w:rPr>
          <w:rFonts w:asciiTheme="minorHAnsi" w:hAnsiTheme="minorHAnsi" w:cstheme="minorHAnsi"/>
          <w:color w:val="363636"/>
          <w:sz w:val="22"/>
          <w:szCs w:val="22"/>
        </w:rPr>
        <w:t>. However, at any point after all forms are in the "Passed" status, the AOR may log in and click the Submit button.</w:t>
      </w:r>
      <w:r w:rsidR="00FC7817" w:rsidRPr="00F42213">
        <w:rPr>
          <w:rFonts w:cstheme="minorHAnsi"/>
          <w:color w:val="363636"/>
        </w:rPr>
        <w:t xml:space="preserve"> </w:t>
      </w:r>
    </w:p>
    <w:p w:rsidR="00F42213" w:rsidRPr="00FC7817" w:rsidRDefault="00F42213" w:rsidP="00F42213">
      <w:pPr>
        <w:pStyle w:val="Heading3"/>
        <w:shd w:val="clear" w:color="auto" w:fill="FFFFFF"/>
        <w:spacing w:before="0" w:beforeAutospacing="0" w:after="0" w:afterAutospacing="0"/>
        <w:rPr>
          <w:rFonts w:asciiTheme="minorHAnsi" w:hAnsiTheme="minorHAnsi" w:cstheme="minorHAnsi"/>
          <w:bCs w:val="0"/>
          <w:color w:val="000000"/>
          <w:sz w:val="22"/>
          <w:szCs w:val="22"/>
        </w:rPr>
      </w:pPr>
      <w:r w:rsidRPr="00FC7817">
        <w:rPr>
          <w:rFonts w:asciiTheme="minorHAnsi" w:hAnsiTheme="minorHAnsi" w:cstheme="minorHAnsi"/>
          <w:bCs w:val="0"/>
          <w:color w:val="000000"/>
          <w:sz w:val="22"/>
          <w:szCs w:val="22"/>
        </w:rPr>
        <w:t>11. Track your application and download the entire package for your offline record-keeping</w:t>
      </w:r>
    </w:p>
    <w:p w:rsidR="00F42213" w:rsidRPr="00F42213" w:rsidRDefault="00455624" w:rsidP="00FC7817">
      <w:pPr>
        <w:pStyle w:val="NormalWeb"/>
        <w:shd w:val="clear" w:color="auto" w:fill="FFFFFF"/>
        <w:spacing w:before="0" w:beforeAutospacing="0" w:after="240" w:afterAutospacing="0" w:line="270" w:lineRule="atLeast"/>
        <w:rPr>
          <w:rFonts w:asciiTheme="minorHAnsi" w:hAnsiTheme="minorHAnsi" w:cstheme="minorHAnsi"/>
          <w:b/>
          <w:bCs/>
          <w:i/>
          <w:iCs/>
          <w:color w:val="363636"/>
          <w:sz w:val="22"/>
          <w:szCs w:val="22"/>
        </w:rPr>
      </w:pPr>
      <w:r>
        <w:rPr>
          <w:rFonts w:asciiTheme="minorHAnsi" w:eastAsiaTheme="minorHAnsi" w:hAnsiTheme="minorHAnsi" w:cstheme="minorHAnsi"/>
          <w:color w:val="363636"/>
          <w:sz w:val="22"/>
          <w:szCs w:val="22"/>
        </w:rPr>
        <w:br/>
      </w:r>
      <w:r w:rsidR="00F42213" w:rsidRPr="00F42213">
        <w:rPr>
          <w:rFonts w:asciiTheme="minorHAnsi" w:hAnsiTheme="minorHAnsi" w:cstheme="minorHAnsi"/>
          <w:color w:val="363636"/>
          <w:sz w:val="22"/>
          <w:szCs w:val="22"/>
        </w:rPr>
        <w:t>After submitting, you can </w:t>
      </w:r>
      <w:hyperlink r:id="rId11" w:tgtFrame="_blank" w:history="1">
        <w:r w:rsidR="00F42213" w:rsidRPr="00F42213">
          <w:rPr>
            <w:rStyle w:val="Hyperlink"/>
            <w:rFonts w:asciiTheme="minorHAnsi" w:hAnsiTheme="minorHAnsi" w:cstheme="minorHAnsi"/>
            <w:color w:val="0000CC"/>
            <w:sz w:val="22"/>
            <w:szCs w:val="22"/>
          </w:rPr>
          <w:t>track your application</w:t>
        </w:r>
      </w:hyperlink>
      <w:r w:rsidR="00F42213" w:rsidRPr="00F42213">
        <w:rPr>
          <w:rFonts w:asciiTheme="minorHAnsi" w:hAnsiTheme="minorHAnsi" w:cstheme="minorHAnsi"/>
          <w:color w:val="363636"/>
          <w:sz w:val="22"/>
          <w:szCs w:val="22"/>
        </w:rPr>
        <w:t> using the tracking number you receive from Grants.gov. You may also want to download a copy of your completed application for your offline recordkeeping. We recommend tracking and downloading your application </w:t>
      </w:r>
      <w:hyperlink r:id="rId12" w:tgtFrame="_blank" w:history="1">
        <w:r w:rsidR="00F42213" w:rsidRPr="00F42213">
          <w:rPr>
            <w:rStyle w:val="Hyperlink"/>
            <w:rFonts w:asciiTheme="minorHAnsi" w:hAnsiTheme="minorHAnsi" w:cstheme="minorHAnsi"/>
            <w:color w:val="0000CC"/>
            <w:sz w:val="22"/>
            <w:szCs w:val="22"/>
          </w:rPr>
          <w:t>via the Details tab of your workspace</w:t>
        </w:r>
      </w:hyperlink>
      <w:r w:rsidR="00F42213" w:rsidRPr="00F42213">
        <w:rPr>
          <w:rFonts w:asciiTheme="minorHAnsi" w:hAnsiTheme="minorHAnsi" w:cstheme="minorHAnsi"/>
          <w:color w:val="363636"/>
          <w:sz w:val="22"/>
          <w:szCs w:val="22"/>
        </w:rPr>
        <w:t>.</w:t>
      </w:r>
    </w:p>
    <w:p w:rsidR="00F42213" w:rsidRPr="00F42213" w:rsidRDefault="00F42213" w:rsidP="00334CB5">
      <w:pPr>
        <w:pStyle w:val="ListParagraph"/>
        <w:ind w:firstLine="720"/>
        <w:rPr>
          <w:rFonts w:cstheme="minorHAnsi"/>
          <w:b/>
          <w:u w:val="single"/>
        </w:rPr>
      </w:pPr>
    </w:p>
    <w:p w:rsidR="00455624" w:rsidRDefault="00455624" w:rsidP="00455624">
      <w:pPr>
        <w:rPr>
          <w:rFonts w:cstheme="minorHAnsi"/>
        </w:rPr>
      </w:pPr>
      <w:r>
        <w:rPr>
          <w:rFonts w:cstheme="minorHAnsi"/>
        </w:rPr>
        <w:br/>
      </w:r>
    </w:p>
    <w:p w:rsidR="00455624" w:rsidRDefault="00455624" w:rsidP="00455624">
      <w:pPr>
        <w:rPr>
          <w:rFonts w:cstheme="minorHAnsi"/>
        </w:rPr>
      </w:pPr>
    </w:p>
    <w:p w:rsidR="00455624" w:rsidRDefault="00455624" w:rsidP="00455624">
      <w:pPr>
        <w:rPr>
          <w:rFonts w:cstheme="minorHAnsi"/>
        </w:rPr>
      </w:pPr>
    </w:p>
    <w:p w:rsidR="00455624" w:rsidRDefault="00455624" w:rsidP="00455624">
      <w:pPr>
        <w:rPr>
          <w:rFonts w:cstheme="minorHAnsi"/>
        </w:rPr>
      </w:pPr>
    </w:p>
    <w:p w:rsidR="00455624" w:rsidRDefault="00455624" w:rsidP="00455624">
      <w:pPr>
        <w:rPr>
          <w:rFonts w:cstheme="minorHAnsi"/>
        </w:rPr>
      </w:pPr>
    </w:p>
    <w:p w:rsidR="00455624" w:rsidRDefault="00455624" w:rsidP="00455624">
      <w:pPr>
        <w:rPr>
          <w:rFonts w:cstheme="minorHAnsi"/>
        </w:rPr>
      </w:pPr>
    </w:p>
    <w:p w:rsidR="00455624" w:rsidRDefault="00455624" w:rsidP="00455624">
      <w:pPr>
        <w:rPr>
          <w:rFonts w:cstheme="minorHAnsi"/>
        </w:rPr>
      </w:pPr>
    </w:p>
    <w:p w:rsidR="00455624" w:rsidRPr="00455624" w:rsidRDefault="00455624" w:rsidP="00455624">
      <w:pPr>
        <w:rPr>
          <w:rFonts w:cstheme="minorHAnsi"/>
          <w:b/>
        </w:rPr>
      </w:pPr>
      <w:r w:rsidRPr="00455624">
        <w:rPr>
          <w:rFonts w:cstheme="minorHAnsi"/>
          <w:b/>
        </w:rPr>
        <w:t>Resources:</w:t>
      </w:r>
    </w:p>
    <w:p w:rsidR="00334CB5" w:rsidRDefault="00C8551F" w:rsidP="00455624">
      <w:pPr>
        <w:rPr>
          <w:rFonts w:cstheme="minorHAnsi"/>
        </w:rPr>
      </w:pPr>
      <w:hyperlink r:id="rId13" w:history="1">
        <w:r w:rsidR="00455624" w:rsidRPr="006272FF">
          <w:rPr>
            <w:rStyle w:val="Hyperlink"/>
            <w:rFonts w:cstheme="minorHAnsi"/>
          </w:rPr>
          <w:t>https://www.grants.gov/web/grants/applicants/workspace-overview/workspace-advanced.html</w:t>
        </w:r>
      </w:hyperlink>
    </w:p>
    <w:p w:rsidR="00455624" w:rsidRDefault="00C8551F" w:rsidP="00455624">
      <w:pPr>
        <w:rPr>
          <w:rFonts w:cstheme="minorHAnsi"/>
          <w:b/>
          <w:u w:val="single"/>
        </w:rPr>
      </w:pPr>
      <w:hyperlink r:id="rId14" w:history="1">
        <w:r w:rsidR="00455624" w:rsidRPr="006272FF">
          <w:rPr>
            <w:rStyle w:val="Hyperlink"/>
            <w:rFonts w:cstheme="minorHAnsi"/>
            <w:b/>
          </w:rPr>
          <w:t>https://www.grants.gov/web/grants/applicants/applicant-training.html</w:t>
        </w:r>
      </w:hyperlink>
    </w:p>
    <w:p w:rsidR="00455624" w:rsidRPr="00F42213" w:rsidRDefault="00455624" w:rsidP="00455624">
      <w:pPr>
        <w:rPr>
          <w:rFonts w:cstheme="minorHAnsi"/>
          <w:b/>
          <w:u w:val="single"/>
        </w:rPr>
      </w:pPr>
    </w:p>
    <w:sectPr w:rsidR="00455624" w:rsidRPr="00F42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3464B"/>
    <w:multiLevelType w:val="hybridMultilevel"/>
    <w:tmpl w:val="6A108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846A3"/>
    <w:multiLevelType w:val="hybridMultilevel"/>
    <w:tmpl w:val="484E4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6424AD"/>
    <w:multiLevelType w:val="hybridMultilevel"/>
    <w:tmpl w:val="B3740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1F"/>
    <w:rsid w:val="00334CB5"/>
    <w:rsid w:val="00455624"/>
    <w:rsid w:val="00A4671F"/>
    <w:rsid w:val="00B318AC"/>
    <w:rsid w:val="00C8551F"/>
    <w:rsid w:val="00D27151"/>
    <w:rsid w:val="00F42213"/>
    <w:rsid w:val="00FC7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5D042-3452-45F2-858A-416A7236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422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221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1F"/>
    <w:pPr>
      <w:ind w:left="720"/>
      <w:contextualSpacing/>
    </w:pPr>
  </w:style>
  <w:style w:type="character" w:styleId="Hyperlink">
    <w:name w:val="Hyperlink"/>
    <w:basedOn w:val="DefaultParagraphFont"/>
    <w:uiPriority w:val="99"/>
    <w:unhideWhenUsed/>
    <w:rsid w:val="00F42213"/>
    <w:rPr>
      <w:color w:val="0563C1" w:themeColor="hyperlink"/>
      <w:u w:val="single"/>
    </w:rPr>
  </w:style>
  <w:style w:type="character" w:customStyle="1" w:styleId="Heading1Char">
    <w:name w:val="Heading 1 Char"/>
    <w:basedOn w:val="DefaultParagraphFont"/>
    <w:link w:val="Heading1"/>
    <w:uiPriority w:val="9"/>
    <w:rsid w:val="00F422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4221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2213"/>
    <w:rPr>
      <w:rFonts w:ascii="Times New Roman" w:eastAsia="Times New Roman" w:hAnsi="Times New Roman" w:cs="Times New Roman"/>
      <w:b/>
      <w:bCs/>
      <w:sz w:val="24"/>
      <w:szCs w:val="24"/>
    </w:rPr>
  </w:style>
  <w:style w:type="paragraph" w:styleId="NormalWeb">
    <w:name w:val="Normal (Web)"/>
    <w:basedOn w:val="Normal"/>
    <w:uiPriority w:val="99"/>
    <w:unhideWhenUsed/>
    <w:rsid w:val="00F422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203056">
      <w:bodyDiv w:val="1"/>
      <w:marLeft w:val="0"/>
      <w:marRight w:val="0"/>
      <w:marTop w:val="0"/>
      <w:marBottom w:val="0"/>
      <w:divBdr>
        <w:top w:val="none" w:sz="0" w:space="0" w:color="auto"/>
        <w:left w:val="none" w:sz="0" w:space="0" w:color="auto"/>
        <w:bottom w:val="none" w:sz="0" w:space="0" w:color="auto"/>
        <w:right w:val="none" w:sz="0" w:space="0" w:color="auto"/>
      </w:divBdr>
      <w:divsChild>
        <w:div w:id="1181696946">
          <w:marLeft w:val="0"/>
          <w:marRight w:val="0"/>
          <w:marTop w:val="0"/>
          <w:marBottom w:val="0"/>
          <w:divBdr>
            <w:top w:val="none" w:sz="0" w:space="0" w:color="auto"/>
            <w:left w:val="none" w:sz="0" w:space="0" w:color="auto"/>
            <w:bottom w:val="none" w:sz="0" w:space="0" w:color="auto"/>
            <w:right w:val="none" w:sz="0" w:space="0" w:color="auto"/>
          </w:divBdr>
          <w:divsChild>
            <w:div w:id="1637829759">
              <w:marLeft w:val="0"/>
              <w:marRight w:val="0"/>
              <w:marTop w:val="0"/>
              <w:marBottom w:val="0"/>
              <w:divBdr>
                <w:top w:val="none" w:sz="0" w:space="0" w:color="auto"/>
                <w:left w:val="none" w:sz="0" w:space="0" w:color="auto"/>
                <w:bottom w:val="none" w:sz="0" w:space="0" w:color="auto"/>
                <w:right w:val="none" w:sz="0" w:space="0" w:color="auto"/>
              </w:divBdr>
              <w:divsChild>
                <w:div w:id="1188179506">
                  <w:marLeft w:val="0"/>
                  <w:marRight w:val="0"/>
                  <w:marTop w:val="0"/>
                  <w:marBottom w:val="0"/>
                  <w:divBdr>
                    <w:top w:val="single" w:sz="6" w:space="8" w:color="1E90FF"/>
                    <w:left w:val="single" w:sz="6" w:space="8" w:color="1E90FF"/>
                    <w:bottom w:val="single" w:sz="6" w:space="8" w:color="1E90FF"/>
                    <w:right w:val="single" w:sz="6" w:space="8" w:color="1E90FF"/>
                  </w:divBdr>
                </w:div>
                <w:div w:id="1019044740">
                  <w:marLeft w:val="0"/>
                  <w:marRight w:val="0"/>
                  <w:marTop w:val="0"/>
                  <w:marBottom w:val="0"/>
                  <w:divBdr>
                    <w:top w:val="single" w:sz="6" w:space="8" w:color="1E90FF"/>
                    <w:left w:val="single" w:sz="6" w:space="8" w:color="1E90FF"/>
                    <w:bottom w:val="single" w:sz="6" w:space="8" w:color="1E90FF"/>
                    <w:right w:val="single" w:sz="6" w:space="8" w:color="1E90FF"/>
                  </w:divBdr>
                </w:div>
                <w:div w:id="1873491436">
                  <w:marLeft w:val="0"/>
                  <w:marRight w:val="0"/>
                  <w:marTop w:val="0"/>
                  <w:marBottom w:val="0"/>
                  <w:divBdr>
                    <w:top w:val="single" w:sz="6" w:space="8" w:color="1E90FF"/>
                    <w:left w:val="single" w:sz="6" w:space="8" w:color="1E90FF"/>
                    <w:bottom w:val="single" w:sz="6" w:space="8" w:color="1E90FF"/>
                    <w:right w:val="single" w:sz="6" w:space="8" w:color="1E90FF"/>
                  </w:divBdr>
                </w:div>
                <w:div w:id="1020618117">
                  <w:marLeft w:val="0"/>
                  <w:marRight w:val="0"/>
                  <w:marTop w:val="0"/>
                  <w:marBottom w:val="0"/>
                  <w:divBdr>
                    <w:top w:val="single" w:sz="6" w:space="8" w:color="1E90FF"/>
                    <w:left w:val="single" w:sz="6" w:space="8" w:color="1E90FF"/>
                    <w:bottom w:val="single" w:sz="6" w:space="8" w:color="1E90FF"/>
                    <w:right w:val="single" w:sz="6" w:space="8" w:color="1E90FF"/>
                  </w:divBdr>
                </w:div>
                <w:div w:id="1447430166">
                  <w:marLeft w:val="0"/>
                  <w:marRight w:val="0"/>
                  <w:marTop w:val="0"/>
                  <w:marBottom w:val="0"/>
                  <w:divBdr>
                    <w:top w:val="single" w:sz="6" w:space="8" w:color="1E90FF"/>
                    <w:left w:val="single" w:sz="6" w:space="8" w:color="1E90FF"/>
                    <w:bottom w:val="single" w:sz="6" w:space="8" w:color="1E90FF"/>
                    <w:right w:val="single" w:sz="6" w:space="8" w:color="1E90FF"/>
                  </w:divBdr>
                </w:div>
                <w:div w:id="1242791452">
                  <w:marLeft w:val="0"/>
                  <w:marRight w:val="0"/>
                  <w:marTop w:val="0"/>
                  <w:marBottom w:val="0"/>
                  <w:divBdr>
                    <w:top w:val="single" w:sz="6" w:space="8" w:color="1E90FF"/>
                    <w:left w:val="single" w:sz="6" w:space="8" w:color="1E90FF"/>
                    <w:bottom w:val="single" w:sz="6" w:space="8" w:color="1E90FF"/>
                    <w:right w:val="single" w:sz="6" w:space="8" w:color="1E90FF"/>
                  </w:divBdr>
                </w:div>
                <w:div w:id="336810875">
                  <w:marLeft w:val="0"/>
                  <w:marRight w:val="0"/>
                  <w:marTop w:val="0"/>
                  <w:marBottom w:val="0"/>
                  <w:divBdr>
                    <w:top w:val="single" w:sz="6" w:space="8" w:color="1E90FF"/>
                    <w:left w:val="single" w:sz="6" w:space="8" w:color="1E90FF"/>
                    <w:bottom w:val="single" w:sz="6" w:space="8" w:color="1E90FF"/>
                    <w:right w:val="single" w:sz="6" w:space="8" w:color="1E90FF"/>
                  </w:divBdr>
                </w:div>
                <w:div w:id="1208646470">
                  <w:marLeft w:val="0"/>
                  <w:marRight w:val="0"/>
                  <w:marTop w:val="0"/>
                  <w:marBottom w:val="0"/>
                  <w:divBdr>
                    <w:top w:val="single" w:sz="6" w:space="8" w:color="1E90FF"/>
                    <w:left w:val="single" w:sz="6" w:space="8" w:color="1E90FF"/>
                    <w:bottom w:val="single" w:sz="6" w:space="8" w:color="1E90FF"/>
                    <w:right w:val="single" w:sz="6" w:space="8" w:color="1E90FF"/>
                  </w:divBdr>
                </w:div>
                <w:div w:id="1459030462">
                  <w:marLeft w:val="0"/>
                  <w:marRight w:val="0"/>
                  <w:marTop w:val="0"/>
                  <w:marBottom w:val="0"/>
                  <w:divBdr>
                    <w:top w:val="single" w:sz="6" w:space="8" w:color="1E90FF"/>
                    <w:left w:val="single" w:sz="6" w:space="8" w:color="1E90FF"/>
                    <w:bottom w:val="single" w:sz="6" w:space="8" w:color="1E90FF"/>
                    <w:right w:val="single" w:sz="6" w:space="8" w:color="1E90FF"/>
                  </w:divBdr>
                </w:div>
                <w:div w:id="927815355">
                  <w:marLeft w:val="0"/>
                  <w:marRight w:val="0"/>
                  <w:marTop w:val="0"/>
                  <w:marBottom w:val="0"/>
                  <w:divBdr>
                    <w:top w:val="single" w:sz="6" w:space="8" w:color="1E90FF"/>
                    <w:left w:val="single" w:sz="6" w:space="8" w:color="1E90FF"/>
                    <w:bottom w:val="single" w:sz="6" w:space="8" w:color="1E90FF"/>
                    <w:right w:val="single" w:sz="6" w:space="8" w:color="1E90FF"/>
                  </w:divBdr>
                </w:div>
                <w:div w:id="1742866075">
                  <w:marLeft w:val="0"/>
                  <w:marRight w:val="0"/>
                  <w:marTop w:val="0"/>
                  <w:marBottom w:val="0"/>
                  <w:divBdr>
                    <w:top w:val="single" w:sz="6" w:space="8" w:color="1E90FF"/>
                    <w:left w:val="single" w:sz="6" w:space="8" w:color="1E90FF"/>
                    <w:bottom w:val="single" w:sz="6" w:space="8" w:color="1E90FF"/>
                    <w:right w:val="single" w:sz="6" w:space="8" w:color="1E90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ts.gov/web/grants/applicants/workspace-overview/workspace-roles.html" TargetMode="External"/><Relationship Id="rId13" Type="http://schemas.openxmlformats.org/officeDocument/2006/relationships/hyperlink" Target="https://www.grants.gov/web/grants/applicants/workspace-overview/workspace-advanced.html" TargetMode="External"/><Relationship Id="rId3" Type="http://schemas.openxmlformats.org/officeDocument/2006/relationships/settings" Target="settings.xml"/><Relationship Id="rId7" Type="http://schemas.openxmlformats.org/officeDocument/2006/relationships/hyperlink" Target="https://www.grants.gov/web/grants/applicants/workspace-overview/workspace-process.html" TargetMode="External"/><Relationship Id="rId12" Type="http://schemas.openxmlformats.org/officeDocument/2006/relationships/hyperlink" Target="https://www.test.grants.gov/help/html/help/ManageWorkspaces/Details_Tab_View_Details_Applicant.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rants.gov/web/grants/register.html" TargetMode="External"/><Relationship Id="rId11" Type="http://schemas.openxmlformats.org/officeDocument/2006/relationships/hyperlink" Target="https://www.grants.gov/help/html/help/ManageWorkspaces/Track_a_Workspace_Package.htm?rhsearch=track%20application&amp;rhsyns=%20" TargetMode="External"/><Relationship Id="rId5" Type="http://schemas.openxmlformats.org/officeDocument/2006/relationships/hyperlink" Target="https://www.grants.gov/web/grants/applicants/applicant-training.html" TargetMode="External"/><Relationship Id="rId15" Type="http://schemas.openxmlformats.org/officeDocument/2006/relationships/fontTable" Target="fontTable.xml"/><Relationship Id="rId10" Type="http://schemas.openxmlformats.org/officeDocument/2006/relationships/hyperlink" Target="https://www.grants.gov/help/html/help/ManageWorkspaces/Complete_and_Notify_AOR.htm?rhsearch=check%20for%20errors%20button&amp;rhsyns=%20" TargetMode="External"/><Relationship Id="rId4" Type="http://schemas.openxmlformats.org/officeDocument/2006/relationships/webSettings" Target="webSettings.xml"/><Relationship Id="rId9" Type="http://schemas.openxmlformats.org/officeDocument/2006/relationships/hyperlink" Target="https://www.grants.gov/help/html/help/ManageWorkspaces/FillOutWebform.htm" TargetMode="External"/><Relationship Id="rId14" Type="http://schemas.openxmlformats.org/officeDocument/2006/relationships/hyperlink" Target="https://www.grants.gov/web/grants/applicants/applicant-tra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Cindy Eleson</cp:lastModifiedBy>
  <cp:revision>2</cp:revision>
  <dcterms:created xsi:type="dcterms:W3CDTF">2017-12-04T22:39:00Z</dcterms:created>
  <dcterms:modified xsi:type="dcterms:W3CDTF">2017-12-04T22:39:00Z</dcterms:modified>
</cp:coreProperties>
</file>