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92" w:rsidRPr="004E0DAB" w:rsidRDefault="004E0DAB" w:rsidP="004E0DAB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:rsidR="00255A92" w:rsidRPr="004E0DAB" w:rsidRDefault="002A1E28" w:rsidP="00255A92">
      <w:pPr>
        <w:jc w:val="center"/>
        <w:rPr>
          <w:rFonts w:ascii="Georgia" w:hAnsi="Georgia"/>
        </w:rPr>
      </w:pPr>
      <w:r>
        <w:rPr>
          <w:rFonts w:ascii="Georgia" w:hAnsi="Georgia"/>
        </w:rPr>
        <w:t>Sunday</w:t>
      </w:r>
      <w:r w:rsidR="00255A92" w:rsidRPr="004E0DAB">
        <w:rPr>
          <w:rFonts w:ascii="Georgia" w:hAnsi="Georgia"/>
        </w:rPr>
        <w:t>,</w:t>
      </w:r>
      <w:r w:rsidR="00CC7AB8">
        <w:rPr>
          <w:rFonts w:ascii="Georgia" w:hAnsi="Georgia"/>
        </w:rPr>
        <w:t xml:space="preserve"> </w:t>
      </w:r>
      <w:r w:rsidR="00AD56B8">
        <w:rPr>
          <w:rFonts w:ascii="Georgia" w:hAnsi="Georgia"/>
        </w:rPr>
        <w:t xml:space="preserve">November </w:t>
      </w:r>
      <w:r w:rsidR="0046720D">
        <w:rPr>
          <w:rFonts w:ascii="Georgia" w:hAnsi="Georgia"/>
        </w:rPr>
        <w:t>26</w:t>
      </w:r>
      <w:r w:rsidR="00F95147" w:rsidRPr="004E0DAB">
        <w:rPr>
          <w:rFonts w:ascii="Georgia" w:hAnsi="Georgia"/>
        </w:rPr>
        <w:t>, 2017</w:t>
      </w:r>
    </w:p>
    <w:p w:rsidR="00255A92" w:rsidRPr="004E0DAB" w:rsidRDefault="002A1E28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7</w:t>
      </w:r>
      <w:r w:rsidR="00773BDB">
        <w:rPr>
          <w:rFonts w:ascii="Georgia" w:hAnsi="Georgia"/>
        </w:rPr>
        <w:t>:30</w:t>
      </w:r>
      <w:r w:rsidR="009957A5">
        <w:rPr>
          <w:rFonts w:ascii="Georgia" w:hAnsi="Georgia"/>
        </w:rPr>
        <w:t xml:space="preserve"> PM – </w:t>
      </w:r>
      <w:r w:rsidR="004E0DAB">
        <w:rPr>
          <w:rFonts w:ascii="Georgia" w:hAnsi="Georgia"/>
        </w:rPr>
        <w:t>Heine Room</w:t>
      </w:r>
    </w:p>
    <w:p w:rsidR="00255A92" w:rsidRPr="004E0DAB" w:rsidRDefault="009E0CD6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Minutes</w:t>
      </w:r>
    </w:p>
    <w:p w:rsidR="007F4F60" w:rsidRDefault="007F4F60" w:rsidP="007F4F60">
      <w:pPr>
        <w:spacing w:after="160"/>
        <w:ind w:left="360"/>
        <w:rPr>
          <w:rFonts w:ascii="Georgia" w:hAnsi="Georgia"/>
        </w:rPr>
      </w:pPr>
    </w:p>
    <w:p w:rsidR="00255A92" w:rsidRPr="003C5F15" w:rsidRDefault="00255A92" w:rsidP="003C5F1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Call to Order</w:t>
      </w:r>
      <w:r w:rsidR="003C5F15">
        <w:rPr>
          <w:rFonts w:ascii="Georgia" w:hAnsi="Georgia"/>
          <w:sz w:val="22"/>
        </w:rPr>
        <w:t xml:space="preserve"> at 7:30 PM</w:t>
      </w:r>
    </w:p>
    <w:p w:rsidR="0083797B" w:rsidRPr="003C5F15" w:rsidRDefault="003C5F1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Present: Chief Justice Melville, Senior Associate Justice McCormick, Associate Justice </w:t>
      </w:r>
      <w:proofErr w:type="spellStart"/>
      <w:r>
        <w:rPr>
          <w:rFonts w:ascii="Georgia" w:hAnsi="Georgia"/>
          <w:sz w:val="22"/>
        </w:rPr>
        <w:t>Pacella</w:t>
      </w:r>
      <w:proofErr w:type="spellEnd"/>
      <w:r>
        <w:rPr>
          <w:rFonts w:ascii="Georgia" w:hAnsi="Georgia"/>
          <w:sz w:val="22"/>
        </w:rPr>
        <w:t>, Associate Justice Garrick</w:t>
      </w:r>
      <w:r w:rsidR="0083797B" w:rsidRPr="003C5F15">
        <w:rPr>
          <w:rFonts w:ascii="Georgia" w:hAnsi="Georgia"/>
          <w:sz w:val="22"/>
        </w:rPr>
        <w:t xml:space="preserve"> </w:t>
      </w:r>
    </w:p>
    <w:p w:rsidR="0083797B" w:rsidRPr="003C5F15" w:rsidRDefault="003C5F1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Absent: Senior Associate Justice Stirling, Associate Justice Dunwoody, Associate Justice </w:t>
      </w:r>
      <w:proofErr w:type="spellStart"/>
      <w:r>
        <w:rPr>
          <w:rFonts w:ascii="Georgia" w:hAnsi="Georgia"/>
          <w:sz w:val="22"/>
        </w:rPr>
        <w:t>Beah</w:t>
      </w:r>
      <w:proofErr w:type="spellEnd"/>
    </w:p>
    <w:p w:rsidR="00255A92" w:rsidRPr="003C5F15" w:rsidRDefault="000E6163" w:rsidP="003C5F1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Additions to and Approval of</w:t>
      </w:r>
      <w:r w:rsidR="00B47769" w:rsidRPr="003C5F15">
        <w:rPr>
          <w:rFonts w:ascii="Georgia" w:hAnsi="Georgia"/>
          <w:sz w:val="22"/>
        </w:rPr>
        <w:t xml:space="preserve"> the Agenda</w:t>
      </w:r>
    </w:p>
    <w:p w:rsidR="0083797B" w:rsidRPr="003C5F15" w:rsidRDefault="003C5F1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  <w:highlight w:val="yellow"/>
        </w:rPr>
      </w:pPr>
      <w:r w:rsidRPr="003C5F15">
        <w:rPr>
          <w:rFonts w:ascii="Georgia" w:hAnsi="Georgia"/>
          <w:sz w:val="22"/>
          <w:highlight w:val="yellow"/>
        </w:rPr>
        <w:t xml:space="preserve">Strike “Student Court List </w:t>
      </w:r>
      <w:proofErr w:type="spellStart"/>
      <w:r w:rsidRPr="003C5F15">
        <w:rPr>
          <w:rFonts w:ascii="Georgia" w:hAnsi="Georgia"/>
          <w:sz w:val="22"/>
          <w:highlight w:val="yellow"/>
        </w:rPr>
        <w:t>Serv</w:t>
      </w:r>
      <w:proofErr w:type="spellEnd"/>
      <w:r w:rsidRPr="003C5F15">
        <w:rPr>
          <w:rFonts w:ascii="Georgia" w:hAnsi="Georgia"/>
          <w:sz w:val="22"/>
          <w:highlight w:val="yellow"/>
        </w:rPr>
        <w:t xml:space="preserve">” and add “2018 Rockpile” under </w:t>
      </w:r>
      <w:r w:rsidRPr="003C5F15">
        <w:rPr>
          <w:rFonts w:ascii="Georgia" w:hAnsi="Georgia"/>
          <w:i/>
          <w:sz w:val="22"/>
          <w:highlight w:val="yellow"/>
        </w:rPr>
        <w:t>Line Item V Section b.</w:t>
      </w:r>
    </w:p>
    <w:p w:rsidR="003C5F15" w:rsidRPr="003C5F15" w:rsidRDefault="003C5F1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Agenda </w:t>
      </w:r>
      <w:r w:rsidRPr="003C5F15">
        <w:rPr>
          <w:rFonts w:ascii="Georgia" w:hAnsi="Georgia"/>
          <w:sz w:val="22"/>
        </w:rPr>
        <w:t>Approved</w:t>
      </w:r>
    </w:p>
    <w:p w:rsidR="0002039C" w:rsidRPr="003C5F15" w:rsidRDefault="00690E06" w:rsidP="003C5F1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Good News</w:t>
      </w:r>
    </w:p>
    <w:p w:rsidR="005D526E" w:rsidRPr="003C5F15" w:rsidRDefault="00166DB8" w:rsidP="003C5F1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Reports</w:t>
      </w:r>
      <w:bookmarkStart w:id="0" w:name="_GoBack"/>
      <w:bookmarkEnd w:id="0"/>
    </w:p>
    <w:p w:rsidR="0083797B" w:rsidRPr="003C5F15" w:rsidRDefault="0083797B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Tuesday: </w:t>
      </w: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 xml:space="preserve">, Morgan, Jared will be at </w:t>
      </w:r>
      <w:r w:rsidR="003C5F15">
        <w:rPr>
          <w:rFonts w:ascii="Georgia" w:hAnsi="Georgia"/>
          <w:sz w:val="22"/>
        </w:rPr>
        <w:t>Parking Appeals Board meeting on Tuesday.</w:t>
      </w:r>
    </w:p>
    <w:p w:rsidR="0083797B" w:rsidRPr="003C5F15" w:rsidRDefault="0083797B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Jared: </w:t>
      </w:r>
      <w:r w:rsidR="003C5F15">
        <w:rPr>
          <w:rFonts w:ascii="Georgia" w:hAnsi="Georgia"/>
          <w:sz w:val="22"/>
        </w:rPr>
        <w:t>I have sent out a Qualtrics survey to help us determine a meeting time for next semester. Please respond when you are able.</w:t>
      </w:r>
    </w:p>
    <w:p w:rsidR="0035270B" w:rsidRPr="003C5F15" w:rsidRDefault="0035270B" w:rsidP="003C5F1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Order of Business:</w:t>
      </w:r>
    </w:p>
    <w:p w:rsidR="0083797B" w:rsidRPr="003C5F15" w:rsidRDefault="00866789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Standardized General Court Document</w:t>
      </w:r>
    </w:p>
    <w:p w:rsidR="009A1EC7" w:rsidRPr="003C5F15" w:rsidRDefault="009A1EC7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2017 Rockpile Review</w:t>
      </w:r>
    </w:p>
    <w:p w:rsidR="00BB4E50" w:rsidRPr="003C5F15" w:rsidRDefault="00BB4E50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trike/>
          <w:sz w:val="22"/>
          <w:highlight w:val="yellow"/>
        </w:rPr>
      </w:pPr>
      <w:r w:rsidRPr="003C5F15">
        <w:rPr>
          <w:rFonts w:ascii="Georgia" w:hAnsi="Georgia"/>
          <w:strike/>
          <w:sz w:val="22"/>
          <w:highlight w:val="yellow"/>
        </w:rPr>
        <w:t xml:space="preserve">Student Court List </w:t>
      </w:r>
      <w:proofErr w:type="spellStart"/>
      <w:r w:rsidRPr="003C5F15">
        <w:rPr>
          <w:rFonts w:ascii="Georgia" w:hAnsi="Georgia"/>
          <w:strike/>
          <w:sz w:val="22"/>
          <w:highlight w:val="yellow"/>
        </w:rPr>
        <w:t>Serv</w:t>
      </w:r>
      <w:proofErr w:type="spellEnd"/>
    </w:p>
    <w:p w:rsidR="0083797B" w:rsidRPr="003C5F15" w:rsidRDefault="00BB4E50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Student Court Meeting Minute Consolidation</w:t>
      </w:r>
    </w:p>
    <w:p w:rsidR="00E342F4" w:rsidRPr="003C5F15" w:rsidRDefault="00E342F4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Student Court Visibility</w:t>
      </w:r>
      <w:r w:rsidR="00734016" w:rsidRPr="003C5F15">
        <w:rPr>
          <w:rFonts w:ascii="Georgia" w:hAnsi="Georgia"/>
          <w:sz w:val="22"/>
        </w:rPr>
        <w:t xml:space="preserve"> &amp; Poster</w:t>
      </w:r>
    </w:p>
    <w:p w:rsidR="0083797B" w:rsidRPr="003C5F15" w:rsidRDefault="0083797B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Poster: Student body audience; purpose is to inform students of options/information; advertising for student body elections; </w:t>
      </w:r>
      <w:r w:rsidR="003C5F15">
        <w:rPr>
          <w:rFonts w:ascii="Georgia" w:hAnsi="Georgia"/>
          <w:sz w:val="22"/>
        </w:rPr>
        <w:t xml:space="preserve">perhaps the Court can work with PR to use this poster idea as some sort of promotion for the Student Body Election. </w:t>
      </w:r>
      <w:proofErr w:type="gramStart"/>
      <w:r w:rsidR="003C5F15">
        <w:rPr>
          <w:rFonts w:ascii="Georgia" w:hAnsi="Georgia"/>
          <w:sz w:val="22"/>
        </w:rPr>
        <w:t>Specifically</w:t>
      </w:r>
      <w:proofErr w:type="gramEnd"/>
      <w:r w:rsidR="003C5F15">
        <w:rPr>
          <w:rFonts w:ascii="Georgia" w:hAnsi="Georgia"/>
          <w:sz w:val="22"/>
        </w:rPr>
        <w:t xml:space="preserve"> for new candidates to diversify the candidate pool.</w:t>
      </w:r>
      <w:r w:rsidR="00F9599B">
        <w:rPr>
          <w:rFonts w:ascii="Georgia" w:hAnsi="Georgia"/>
          <w:sz w:val="22"/>
        </w:rPr>
        <w:t xml:space="preserve"> Let’s change the timeline of this project to next semester.</w:t>
      </w:r>
    </w:p>
    <w:p w:rsidR="0083797B" w:rsidRPr="003C5F15" w:rsidRDefault="0083797B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Visibility: </w:t>
      </w:r>
      <w:r w:rsidR="00E951A1" w:rsidRPr="003C5F15">
        <w:rPr>
          <w:rFonts w:ascii="Georgia" w:hAnsi="Georgia"/>
          <w:sz w:val="22"/>
        </w:rPr>
        <w:t>Cale, Morgan, Quinn – working with PR</w:t>
      </w:r>
    </w:p>
    <w:p w:rsidR="0083797B" w:rsidRPr="003C5F15" w:rsidRDefault="0083797B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  <w:highlight w:val="yellow"/>
        </w:rPr>
      </w:pPr>
      <w:r w:rsidRPr="003C5F15">
        <w:rPr>
          <w:rFonts w:ascii="Georgia" w:hAnsi="Georgia"/>
          <w:sz w:val="22"/>
          <w:highlight w:val="yellow"/>
        </w:rPr>
        <w:t>Student Court Rockpile</w:t>
      </w:r>
    </w:p>
    <w:p w:rsidR="00E951A1" w:rsidRDefault="00E951A1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lastRenderedPageBreak/>
        <w:t>Scrutinize SG Governance: (off-track); push off to next semester; institutional research; ARC; electronic voting; Finance Code/SG Code</w:t>
      </w:r>
      <w:r w:rsidR="003E0E1B">
        <w:rPr>
          <w:rFonts w:ascii="Georgia" w:hAnsi="Georgia"/>
          <w:sz w:val="22"/>
        </w:rPr>
        <w:t>. The Student Court became preoccupied with literally everything else throughout the semester</w:t>
      </w:r>
      <w:r w:rsidR="00F9599B">
        <w:rPr>
          <w:rFonts w:ascii="Georgia" w:hAnsi="Georgia"/>
          <w:sz w:val="22"/>
        </w:rPr>
        <w:t>.</w:t>
      </w:r>
    </w:p>
    <w:p w:rsidR="00F9599B" w:rsidRPr="003C5F15" w:rsidRDefault="00F9599B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Aside from governance, the Student Court will have completed everything on its Rockpile. </w:t>
      </w:r>
      <w:proofErr w:type="gramStart"/>
      <w:r>
        <w:rPr>
          <w:rFonts w:ascii="Georgia" w:hAnsi="Georgia"/>
          <w:sz w:val="22"/>
        </w:rPr>
        <w:t>Great work</w:t>
      </w:r>
      <w:proofErr w:type="gramEnd"/>
      <w:r>
        <w:rPr>
          <w:rFonts w:ascii="Georgia" w:hAnsi="Georgia"/>
          <w:sz w:val="22"/>
        </w:rPr>
        <w:t xml:space="preserve">! </w:t>
      </w:r>
    </w:p>
    <w:p w:rsidR="00E951A1" w:rsidRPr="003C5F15" w:rsidRDefault="003E0E1B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Rockpiles/</w:t>
      </w:r>
      <w:r w:rsidR="00E951A1" w:rsidRPr="003C5F15">
        <w:rPr>
          <w:rFonts w:ascii="Georgia" w:hAnsi="Georgia"/>
          <w:sz w:val="22"/>
        </w:rPr>
        <w:t>Objectives for next semester</w:t>
      </w:r>
      <w:r>
        <w:rPr>
          <w:rFonts w:ascii="Georgia" w:hAnsi="Georgia"/>
          <w:sz w:val="22"/>
        </w:rPr>
        <w:t>:</w:t>
      </w:r>
    </w:p>
    <w:p w:rsidR="00E951A1" w:rsidRPr="003C5F15" w:rsidRDefault="00E951A1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Ka</w:t>
      </w:r>
      <w:r w:rsidR="003E0E1B">
        <w:rPr>
          <w:rFonts w:ascii="Georgia" w:hAnsi="Georgia"/>
          <w:sz w:val="22"/>
        </w:rPr>
        <w:t>cy</w:t>
      </w:r>
      <w:r w:rsidRPr="003C5F15">
        <w:rPr>
          <w:rFonts w:ascii="Georgia" w:hAnsi="Georgia"/>
          <w:sz w:val="22"/>
        </w:rPr>
        <w:t>: Better education for social media use during elections</w:t>
      </w:r>
    </w:p>
    <w:p w:rsidR="00E951A1" w:rsidRPr="003C5F15" w:rsidRDefault="00E951A1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>: clean up Court computer (documents)</w:t>
      </w:r>
    </w:p>
    <w:p w:rsidR="00E951A1" w:rsidRPr="003C5F15" w:rsidRDefault="00E951A1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Ka</w:t>
      </w:r>
      <w:r w:rsidR="003E0E1B">
        <w:rPr>
          <w:rFonts w:ascii="Georgia" w:hAnsi="Georgia"/>
          <w:sz w:val="22"/>
        </w:rPr>
        <w:t>cy</w:t>
      </w:r>
      <w:r w:rsidRPr="003C5F15">
        <w:rPr>
          <w:rFonts w:ascii="Georgia" w:hAnsi="Georgia"/>
          <w:sz w:val="22"/>
        </w:rPr>
        <w:t>: clean up desk</w:t>
      </w:r>
    </w:p>
    <w:p w:rsidR="00821BCE" w:rsidRPr="003C5F15" w:rsidRDefault="00821BCE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Rules of the Court</w:t>
      </w:r>
    </w:p>
    <w:p w:rsidR="00BB4E50" w:rsidRPr="003C5F15" w:rsidRDefault="00BB4E50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Associate &amp; Assistant Justice Distinction</w:t>
      </w:r>
    </w:p>
    <w:p w:rsidR="00E951A1" w:rsidRDefault="00E951A1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Assistant Justice never clearly defined</w:t>
      </w:r>
      <w:r w:rsidR="003E0E1B">
        <w:rPr>
          <w:rFonts w:ascii="Georgia" w:hAnsi="Georgia"/>
          <w:sz w:val="22"/>
        </w:rPr>
        <w:t xml:space="preserve"> in its creation</w:t>
      </w:r>
      <w:r w:rsidRPr="003C5F15">
        <w:rPr>
          <w:rFonts w:ascii="Georgia" w:hAnsi="Georgia"/>
          <w:sz w:val="22"/>
        </w:rPr>
        <w:t xml:space="preserve">. The only distinction was “minute-taking” and </w:t>
      </w:r>
      <w:r w:rsidR="003E0E1B">
        <w:rPr>
          <w:rFonts w:ascii="Georgia" w:hAnsi="Georgia"/>
          <w:sz w:val="22"/>
        </w:rPr>
        <w:t>the ability to vote provided an Associate Justice was not present at a meeting.</w:t>
      </w:r>
    </w:p>
    <w:p w:rsidR="003E0E1B" w:rsidRDefault="003E0E1B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Rules of the Court will now clarify in greater detail what the Assistant Justice </w:t>
      </w:r>
      <w:proofErr w:type="gramStart"/>
      <w:r>
        <w:rPr>
          <w:rFonts w:ascii="Georgia" w:hAnsi="Georgia"/>
          <w:sz w:val="22"/>
        </w:rPr>
        <w:t>is capable of doing</w:t>
      </w:r>
      <w:proofErr w:type="gramEnd"/>
      <w:r>
        <w:rPr>
          <w:rFonts w:ascii="Georgia" w:hAnsi="Georgia"/>
          <w:sz w:val="22"/>
        </w:rPr>
        <w:t>.</w:t>
      </w:r>
    </w:p>
    <w:p w:rsidR="003E0E1B" w:rsidRPr="003C5F15" w:rsidRDefault="003E0E1B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Consensus Attained.</w:t>
      </w:r>
    </w:p>
    <w:p w:rsidR="00BB4E50" w:rsidRPr="003C5F15" w:rsidRDefault="00BB4E50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Case Procedure</w:t>
      </w:r>
    </w:p>
    <w:p w:rsidR="00E951A1" w:rsidRPr="003C5F15" w:rsidRDefault="003E0E1B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Case Procedure in the Rules of the Court is confusing, complex, and not orderly. Rewriting it has been essential.</w:t>
      </w:r>
    </w:p>
    <w:p w:rsidR="0011576D" w:rsidRPr="003C5F15" w:rsidRDefault="0011576D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Jared: </w:t>
      </w:r>
      <w:r w:rsidR="003E0E1B">
        <w:rPr>
          <w:rFonts w:ascii="Georgia" w:hAnsi="Georgia"/>
          <w:sz w:val="22"/>
        </w:rPr>
        <w:t xml:space="preserve">Should we allow for an additional </w:t>
      </w:r>
      <w:proofErr w:type="gramStart"/>
      <w:r w:rsidR="003E0E1B">
        <w:rPr>
          <w:rFonts w:ascii="Georgia" w:hAnsi="Georgia"/>
          <w:sz w:val="22"/>
        </w:rPr>
        <w:t>period of time</w:t>
      </w:r>
      <w:proofErr w:type="gramEnd"/>
      <w:r w:rsidR="003E0E1B">
        <w:rPr>
          <w:rFonts w:ascii="Georgia" w:hAnsi="Georgia"/>
          <w:sz w:val="22"/>
        </w:rPr>
        <w:t xml:space="preserve"> for witnesses to be </w:t>
      </w:r>
      <w:proofErr w:type="spellStart"/>
      <w:r w:rsidR="003E0E1B">
        <w:rPr>
          <w:rFonts w:ascii="Georgia" w:hAnsi="Georgia"/>
          <w:sz w:val="22"/>
        </w:rPr>
        <w:t>crossexamined</w:t>
      </w:r>
      <w:proofErr w:type="spellEnd"/>
      <w:r w:rsidR="003E0E1B">
        <w:rPr>
          <w:rFonts w:ascii="Georgia" w:hAnsi="Georgia"/>
          <w:sz w:val="22"/>
        </w:rPr>
        <w:t>? This might be helpful if something comes up during the rebuttal phase.</w:t>
      </w:r>
    </w:p>
    <w:p w:rsidR="0011576D" w:rsidRPr="003C5F15" w:rsidRDefault="0011576D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Ka</w:t>
      </w:r>
      <w:r w:rsidR="003E0E1B">
        <w:rPr>
          <w:rFonts w:ascii="Georgia" w:hAnsi="Georgia"/>
          <w:sz w:val="22"/>
        </w:rPr>
        <w:t>cy</w:t>
      </w:r>
      <w:r w:rsidRPr="003C5F15">
        <w:rPr>
          <w:rFonts w:ascii="Georgia" w:hAnsi="Georgia"/>
          <w:sz w:val="22"/>
        </w:rPr>
        <w:t>: Add in another cross-examination following rebuttal</w:t>
      </w:r>
      <w:r w:rsidR="003E0E1B">
        <w:rPr>
          <w:rFonts w:ascii="Georgia" w:hAnsi="Georgia"/>
          <w:sz w:val="22"/>
        </w:rPr>
        <w:t>.</w:t>
      </w:r>
    </w:p>
    <w:p w:rsidR="0011576D" w:rsidRPr="003C5F15" w:rsidRDefault="0011576D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Jared: </w:t>
      </w:r>
      <w:r w:rsidR="003E0E1B">
        <w:rPr>
          <w:rFonts w:ascii="Georgia" w:hAnsi="Georgia"/>
          <w:sz w:val="22"/>
        </w:rPr>
        <w:t>New period only applies</w:t>
      </w:r>
      <w:r w:rsidRPr="003C5F15">
        <w:rPr>
          <w:rFonts w:ascii="Georgia" w:hAnsi="Georgia"/>
          <w:sz w:val="22"/>
        </w:rPr>
        <w:t xml:space="preserve"> to statements made during rebuttal phase. Add in “Plaintiff’s/Defendant’s Final Cross-Examination” following rebuttal. (Optional step) 1</w:t>
      </w:r>
      <w:r w:rsidR="003E0E1B">
        <w:rPr>
          <w:rFonts w:ascii="Georgia" w:hAnsi="Georgia"/>
          <w:sz w:val="22"/>
        </w:rPr>
        <w:t>0</w:t>
      </w:r>
      <w:r w:rsidRPr="003C5F15">
        <w:rPr>
          <w:rFonts w:ascii="Georgia" w:hAnsi="Georgia"/>
          <w:sz w:val="22"/>
        </w:rPr>
        <w:t xml:space="preserve"> Minute maximum for all items/witnesses</w:t>
      </w:r>
      <w:r w:rsidR="003E0E1B">
        <w:rPr>
          <w:rFonts w:ascii="Georgia" w:hAnsi="Georgia"/>
          <w:sz w:val="22"/>
        </w:rPr>
        <w:t>.</w:t>
      </w:r>
    </w:p>
    <w:p w:rsidR="0011576D" w:rsidRPr="003C5F15" w:rsidRDefault="005711A3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J/K/X: Should the plaintiff submit recommendation for punishment/remedy?</w:t>
      </w:r>
    </w:p>
    <w:p w:rsidR="005711A3" w:rsidRPr="003C5F15" w:rsidRDefault="005711A3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Quinn: “may”, an optional aspect of case procedure</w:t>
      </w:r>
    </w:p>
    <w:p w:rsidR="005711A3" w:rsidRPr="003C5F15" w:rsidRDefault="005711A3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>: is it necessary for them to recommend a punishment?</w:t>
      </w:r>
    </w:p>
    <w:p w:rsidR="005711A3" w:rsidRPr="003C5F15" w:rsidRDefault="005711A3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lastRenderedPageBreak/>
        <w:t>“Before concluding, the Plaintiff may state what remedy will resolve the case at hand.”</w:t>
      </w:r>
    </w:p>
    <w:p w:rsidR="005711A3" w:rsidRPr="003C5F15" w:rsidRDefault="005711A3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Ka</w:t>
      </w:r>
      <w:r w:rsidR="003E0E1B">
        <w:rPr>
          <w:rFonts w:ascii="Georgia" w:hAnsi="Georgia"/>
          <w:sz w:val="22"/>
        </w:rPr>
        <w:t>cy</w:t>
      </w:r>
      <w:r w:rsidRPr="003C5F15">
        <w:rPr>
          <w:rFonts w:ascii="Georgia" w:hAnsi="Georgia"/>
          <w:sz w:val="22"/>
        </w:rPr>
        <w:t xml:space="preserve">: </w:t>
      </w:r>
      <w:r w:rsidR="003E0E1B">
        <w:rPr>
          <w:rFonts w:ascii="Georgia" w:hAnsi="Georgia"/>
          <w:sz w:val="22"/>
        </w:rPr>
        <w:t xml:space="preserve">Inclusion </w:t>
      </w:r>
      <w:r w:rsidRPr="003C5F15">
        <w:rPr>
          <w:rFonts w:ascii="Georgia" w:hAnsi="Georgia"/>
          <w:sz w:val="22"/>
        </w:rPr>
        <w:t>allows the Court to see how the plaintiff views the situation</w:t>
      </w:r>
    </w:p>
    <w:p w:rsidR="005711A3" w:rsidRPr="003C5F15" w:rsidRDefault="005711A3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Jared: Mock trial, Thursday December 7, after 6pm</w:t>
      </w:r>
    </w:p>
    <w:p w:rsidR="005711A3" w:rsidRPr="003C5F15" w:rsidRDefault="005711A3" w:rsidP="003C5F15">
      <w:pPr>
        <w:pStyle w:val="ListParagraph"/>
        <w:numPr>
          <w:ilvl w:val="5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Mason and Landon act as Plaintiff and Defendant</w:t>
      </w:r>
    </w:p>
    <w:p w:rsidR="005711A3" w:rsidRPr="003E0E1B" w:rsidRDefault="005711A3" w:rsidP="003E0E1B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Jared: Is there anything in governance regarding if the entire Court is the Defendant?</w:t>
      </w:r>
      <w:r w:rsidR="003E0E1B">
        <w:rPr>
          <w:rFonts w:ascii="Georgia" w:hAnsi="Georgia"/>
          <w:sz w:val="22"/>
        </w:rPr>
        <w:t xml:space="preserve"> Perhaps this should be included elsewhere in the Rules of the Court.</w:t>
      </w:r>
    </w:p>
    <w:p w:rsidR="005711A3" w:rsidRPr="003C5F15" w:rsidRDefault="005711A3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Jared: (Comment) There is no court decision unless there is a majority; </w:t>
      </w:r>
      <w:r w:rsidR="003E0E1B">
        <w:rPr>
          <w:rFonts w:ascii="Georgia" w:hAnsi="Georgia"/>
          <w:sz w:val="22"/>
        </w:rPr>
        <w:t xml:space="preserve">add how the </w:t>
      </w:r>
      <w:r w:rsidRPr="003C5F15">
        <w:rPr>
          <w:rFonts w:ascii="Georgia" w:hAnsi="Georgia"/>
          <w:sz w:val="22"/>
        </w:rPr>
        <w:t>case goes back into deliberation</w:t>
      </w:r>
      <w:r w:rsidR="003E0E1B">
        <w:rPr>
          <w:rFonts w:ascii="Georgia" w:hAnsi="Georgia"/>
          <w:sz w:val="22"/>
        </w:rPr>
        <w:t xml:space="preserve"> if no decision is reached.</w:t>
      </w:r>
    </w:p>
    <w:p w:rsidR="00BB4E50" w:rsidRPr="003C5F15" w:rsidRDefault="00BB4E50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Complaint &amp; Response Forms</w:t>
      </w:r>
    </w:p>
    <w:p w:rsidR="005711A3" w:rsidRPr="003C5F15" w:rsidRDefault="00275C17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2 Documents: Instructions for Complaint Form and Instructions for Receival of Complaint Form</w:t>
      </w:r>
    </w:p>
    <w:p w:rsidR="00275C17" w:rsidRPr="003C5F15" w:rsidRDefault="00275C17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 xml:space="preserve"> developed Complaint Form: Evidence Submission Form and Written Remarks Form consolidated; changed how we will notify Defendant (if Defendant is contacted by email, Court must receive response back before moving forward with case procedure); digitized forms and process; instructions for Courts regarding evidence and forms</w:t>
      </w:r>
    </w:p>
    <w:p w:rsidR="00275C17" w:rsidRPr="003C5F15" w:rsidRDefault="00275C17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Jared: Too many forms; very lengthy and difficult; now it is efficient; now: issuing complaint becomes a more serious process</w:t>
      </w:r>
      <w:r w:rsidR="003E0E1B">
        <w:rPr>
          <w:rFonts w:ascii="Georgia" w:hAnsi="Georgia"/>
          <w:sz w:val="22"/>
        </w:rPr>
        <w:t>.</w:t>
      </w:r>
    </w:p>
    <w:p w:rsidR="00275C17" w:rsidRPr="003C5F15" w:rsidRDefault="00275C17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Instructions for Receival of Complaint Form:</w:t>
      </w:r>
    </w:p>
    <w:p w:rsidR="00275C17" w:rsidRPr="003C5F15" w:rsidRDefault="00275C17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Proper handling of documents.</w:t>
      </w:r>
    </w:p>
    <w:p w:rsidR="00275C17" w:rsidRPr="003C5F15" w:rsidRDefault="00275C17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How long do we want to keep documents for records?</w:t>
      </w:r>
    </w:p>
    <w:p w:rsidR="00275C17" w:rsidRPr="003C5F15" w:rsidRDefault="00275C17" w:rsidP="003C5F15">
      <w:pPr>
        <w:pStyle w:val="ListParagraph"/>
        <w:numPr>
          <w:ilvl w:val="5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Documents should be digitized, then the physical copies be disposed of after the case.</w:t>
      </w:r>
    </w:p>
    <w:p w:rsidR="003E0E1B" w:rsidRDefault="003E0E1B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Should the Court give the Defendant 7 or 10 days to respond? </w:t>
      </w:r>
      <w:proofErr w:type="gramStart"/>
      <w:r>
        <w:rPr>
          <w:rFonts w:ascii="Georgia" w:hAnsi="Georgia"/>
          <w:sz w:val="22"/>
        </w:rPr>
        <w:t>General consensus</w:t>
      </w:r>
      <w:proofErr w:type="gramEnd"/>
      <w:r>
        <w:rPr>
          <w:rFonts w:ascii="Georgia" w:hAnsi="Georgia"/>
          <w:sz w:val="22"/>
        </w:rPr>
        <w:t xml:space="preserve"> is 10 days, as it may be helpful in a case demanding a lot of evidence or a strong response.</w:t>
      </w:r>
    </w:p>
    <w:p w:rsidR="00275C17" w:rsidRPr="003C5F15" w:rsidRDefault="00DD4DE6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Plaintiffs and Defendants are responsible for ensuring that witnesses are at the hearing at the appropriate time.</w:t>
      </w:r>
    </w:p>
    <w:p w:rsidR="00DD4DE6" w:rsidRPr="003C5F15" w:rsidRDefault="00DD4DE6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Court Instructions for Receival of Defendant’s Response Form</w:t>
      </w:r>
    </w:p>
    <w:p w:rsidR="00DD4DE6" w:rsidRPr="003C5F15" w:rsidRDefault="00DD4DE6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lastRenderedPageBreak/>
        <w:t>Point 5: ensuring the Defendant has received the notification before moving forward.</w:t>
      </w:r>
    </w:p>
    <w:p w:rsidR="00BB4E50" w:rsidRPr="003C5F15" w:rsidRDefault="00BB4E50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Sentencing Guidelines</w:t>
      </w:r>
    </w:p>
    <w:p w:rsidR="00DD4DE6" w:rsidRPr="003C5F15" w:rsidRDefault="00DD4DE6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>: Not really sentencing guidelines, didn’t want to constrain the Court; more of a historical summary of Court decisions, may be better at the front of the Book of Court Decisions; value: corrective measures of the Student Court of Justice</w:t>
      </w:r>
    </w:p>
    <w:p w:rsidR="00DD4DE6" w:rsidRPr="003C5F15" w:rsidRDefault="00DD4DE6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Corrective Measures:</w:t>
      </w:r>
    </w:p>
    <w:p w:rsidR="00DD4DE6" w:rsidRPr="003C5F15" w:rsidRDefault="00DD4DE6" w:rsidP="003C5F15">
      <w:pPr>
        <w:pStyle w:val="ListParagraph"/>
        <w:numPr>
          <w:ilvl w:val="5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The measure and where the power derives</w:t>
      </w:r>
    </w:p>
    <w:p w:rsidR="00DD4DE6" w:rsidRPr="003C5F15" w:rsidRDefault="00DD4DE6" w:rsidP="003C5F15">
      <w:pPr>
        <w:pStyle w:val="ListParagraph"/>
        <w:numPr>
          <w:ilvl w:val="5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Put into the Rules of the Court</w:t>
      </w:r>
    </w:p>
    <w:p w:rsidR="00DD4DE6" w:rsidRPr="003C5F15" w:rsidRDefault="00DD4DE6" w:rsidP="003C5F15">
      <w:pPr>
        <w:pStyle w:val="ListParagraph"/>
        <w:numPr>
          <w:ilvl w:val="5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Put dates onto the corrective measures</w:t>
      </w:r>
    </w:p>
    <w:p w:rsidR="00DD4DE6" w:rsidRPr="003C5F15" w:rsidRDefault="00DD4DE6" w:rsidP="003C5F15">
      <w:pPr>
        <w:pStyle w:val="ListParagraph"/>
        <w:numPr>
          <w:ilvl w:val="5"/>
          <w:numId w:val="15"/>
        </w:numPr>
        <w:spacing w:after="160" w:line="360" w:lineRule="auto"/>
        <w:rPr>
          <w:rFonts w:ascii="Georgia" w:hAnsi="Georgia"/>
          <w:sz w:val="22"/>
        </w:rPr>
      </w:pP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 xml:space="preserve">: do we have the powers, that are expressed in the CSO guidelines, to adjust student organizations…injunctions? </w:t>
      </w:r>
    </w:p>
    <w:p w:rsidR="00DD4DE6" w:rsidRPr="003C5F15" w:rsidRDefault="00DD4DE6" w:rsidP="003C5F15">
      <w:pPr>
        <w:pStyle w:val="ListParagraph"/>
        <w:numPr>
          <w:ilvl w:val="5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Jared: Final jurisdiction involving student organizations; can inflict whatever punishment the Court deems reasonable</w:t>
      </w:r>
      <w:r w:rsidR="003E0E1B">
        <w:rPr>
          <w:rFonts w:ascii="Georgia" w:hAnsi="Georgia"/>
          <w:sz w:val="22"/>
        </w:rPr>
        <w:t>.</w:t>
      </w:r>
    </w:p>
    <w:p w:rsidR="00DD4DE6" w:rsidRPr="003C5F15" w:rsidRDefault="00DD4DE6" w:rsidP="003C5F15">
      <w:pPr>
        <w:pStyle w:val="ListParagraph"/>
        <w:numPr>
          <w:ilvl w:val="4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Put Historical Summary in the Book of Court Decisions</w:t>
      </w:r>
    </w:p>
    <w:p w:rsidR="00074F6B" w:rsidRPr="003C5F15" w:rsidRDefault="00074F6B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Standardized Format for Court Decisions</w:t>
      </w:r>
    </w:p>
    <w:p w:rsidR="00DD4DE6" w:rsidRPr="003C5F15" w:rsidRDefault="00252809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Making sure Court decision outlines what the case was about, for future reference.</w:t>
      </w:r>
    </w:p>
    <w:p w:rsidR="00BB4E50" w:rsidRPr="003C5F15" w:rsidRDefault="00BB4E50" w:rsidP="003C5F1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Court Values</w:t>
      </w:r>
    </w:p>
    <w:p w:rsidR="00252809" w:rsidRPr="003C5F15" w:rsidRDefault="00252809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Jared: formatting of Court documents; keeping it broad; is “Public Safety” necessary? Strike it and replace it with flexibility</w:t>
      </w:r>
      <w:r w:rsidR="005450EE" w:rsidRPr="003C5F15">
        <w:rPr>
          <w:rFonts w:ascii="Georgia" w:hAnsi="Georgia"/>
          <w:sz w:val="22"/>
        </w:rPr>
        <w:t xml:space="preserve"> (move to #6): recognizing that everyone is busy, with other obligations, and strive to be flexible</w:t>
      </w:r>
    </w:p>
    <w:p w:rsidR="005450EE" w:rsidRPr="003C5F15" w:rsidRDefault="005450EE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Ka</w:t>
      </w:r>
      <w:r w:rsidR="000E48D5">
        <w:rPr>
          <w:rFonts w:ascii="Georgia" w:hAnsi="Georgia"/>
          <w:sz w:val="22"/>
        </w:rPr>
        <w:t>cy</w:t>
      </w:r>
      <w:r w:rsidRPr="003C5F15">
        <w:rPr>
          <w:rFonts w:ascii="Georgia" w:hAnsi="Georgia"/>
          <w:sz w:val="22"/>
        </w:rPr>
        <w:t xml:space="preserve">: Accessibility: including “harassment”; Transparency: “right to </w:t>
      </w:r>
      <w:r w:rsidRPr="000E48D5">
        <w:rPr>
          <w:rFonts w:ascii="Georgia" w:hAnsi="Georgia"/>
          <w:sz w:val="22"/>
        </w:rPr>
        <w:t xml:space="preserve">attend </w:t>
      </w:r>
      <w:r w:rsidRPr="000E48D5">
        <w:rPr>
          <w:rFonts w:ascii="Georgia" w:hAnsi="Georgia"/>
          <w:color w:val="FF0000"/>
          <w:sz w:val="22"/>
        </w:rPr>
        <w:t xml:space="preserve">open </w:t>
      </w:r>
      <w:r w:rsidRPr="000E48D5">
        <w:rPr>
          <w:rFonts w:ascii="Georgia" w:hAnsi="Georgia"/>
          <w:sz w:val="22"/>
        </w:rPr>
        <w:t>Court</w:t>
      </w:r>
      <w:r w:rsidRPr="003C5F15">
        <w:rPr>
          <w:rFonts w:ascii="Georgia" w:hAnsi="Georgia"/>
          <w:sz w:val="22"/>
        </w:rPr>
        <w:t xml:space="preserve"> meetings”; “</w:t>
      </w:r>
      <w:r w:rsidRPr="003C5F15">
        <w:rPr>
          <w:rFonts w:ascii="Georgia" w:hAnsi="Georgia"/>
          <w:strike/>
          <w:sz w:val="22"/>
        </w:rPr>
        <w:t>attain</w:t>
      </w:r>
      <w:r w:rsidRPr="003C5F15">
        <w:rPr>
          <w:rFonts w:ascii="Georgia" w:hAnsi="Georgia"/>
          <w:sz w:val="22"/>
        </w:rPr>
        <w:t>” or “obtain”?</w:t>
      </w:r>
      <w:r w:rsidR="00A148F6" w:rsidRPr="003C5F15">
        <w:rPr>
          <w:rFonts w:ascii="Georgia" w:hAnsi="Georgia"/>
          <w:sz w:val="22"/>
        </w:rPr>
        <w:t xml:space="preserve"> Combine Accessibility and Receptivity</w:t>
      </w:r>
    </w:p>
    <w:p w:rsidR="005450EE" w:rsidRPr="003C5F15" w:rsidRDefault="005450EE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>: unsure about the partnership section; the Court is judge/jury/executioner, our role is to be independent and unbiased; cooperation implies being biased; do we ever collaborate, or do we just farm out those decisions?</w:t>
      </w:r>
    </w:p>
    <w:p w:rsidR="005450EE" w:rsidRPr="003C5F15" w:rsidRDefault="005450EE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lastRenderedPageBreak/>
        <w:t xml:space="preserve">Cooperation and Partnership? </w:t>
      </w:r>
      <w:r w:rsidRPr="003C5F15">
        <w:rPr>
          <w:rFonts w:ascii="Georgia" w:hAnsi="Georgia"/>
          <w:color w:val="FF0000"/>
          <w:sz w:val="22"/>
        </w:rPr>
        <w:t>STRIKE</w:t>
      </w:r>
    </w:p>
    <w:p w:rsidR="00A148F6" w:rsidRPr="003C5F15" w:rsidRDefault="00A148F6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proofErr w:type="spellStart"/>
      <w:r w:rsidRPr="003C5F15">
        <w:rPr>
          <w:rFonts w:ascii="Georgia" w:hAnsi="Georgia"/>
          <w:sz w:val="22"/>
        </w:rPr>
        <w:t>Xander</w:t>
      </w:r>
      <w:proofErr w:type="spellEnd"/>
      <w:r w:rsidRPr="003C5F15">
        <w:rPr>
          <w:rFonts w:ascii="Georgia" w:hAnsi="Georgia"/>
          <w:sz w:val="22"/>
        </w:rPr>
        <w:t xml:space="preserve">: Change “Equal Justice” to “Equal Protection”; so as not to protect precedent; is “Accountability” necessary; Strike “Accountability” </w:t>
      </w:r>
    </w:p>
    <w:p w:rsidR="00A148F6" w:rsidRPr="003C5F15" w:rsidRDefault="00A148F6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Jared: “Importance of the Individual”? STRIKE</w:t>
      </w:r>
    </w:p>
    <w:p w:rsidR="00A148F6" w:rsidRDefault="00A148F6" w:rsidP="003C5F15">
      <w:pPr>
        <w:pStyle w:val="ListParagraph"/>
        <w:numPr>
          <w:ilvl w:val="3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Jared: Are the six values reflective of what we want to value as the Court? </w:t>
      </w:r>
      <w:proofErr w:type="gramStart"/>
      <w:r w:rsidR="000E48D5">
        <w:rPr>
          <w:rFonts w:ascii="Georgia" w:hAnsi="Georgia"/>
          <w:sz w:val="22"/>
        </w:rPr>
        <w:t>General consensus</w:t>
      </w:r>
      <w:proofErr w:type="gramEnd"/>
      <w:r w:rsidR="000E48D5">
        <w:rPr>
          <w:rFonts w:ascii="Georgia" w:hAnsi="Georgia"/>
          <w:sz w:val="22"/>
        </w:rPr>
        <w:t xml:space="preserve"> is that it works for this moment.</w:t>
      </w:r>
    </w:p>
    <w:p w:rsidR="000E48D5" w:rsidRPr="003C5F15" w:rsidRDefault="000E48D5" w:rsidP="000E48D5">
      <w:pPr>
        <w:pStyle w:val="ListParagraph"/>
        <w:numPr>
          <w:ilvl w:val="2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Chief Justice Melville will begin to compile all these items into a single document.</w:t>
      </w:r>
    </w:p>
    <w:p w:rsidR="00255A92" w:rsidRPr="003C5F15" w:rsidRDefault="00255A92" w:rsidP="003C5F1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Announcements and Comment</w:t>
      </w:r>
      <w:r w:rsidR="005450EE" w:rsidRPr="003C5F15">
        <w:rPr>
          <w:rFonts w:ascii="Georgia" w:hAnsi="Georgia"/>
          <w:sz w:val="22"/>
        </w:rPr>
        <w:t>s</w:t>
      </w:r>
    </w:p>
    <w:p w:rsidR="00A148F6" w:rsidRPr="003C5F15" w:rsidRDefault="00A148F6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Next Week: PR Comm. Monica </w:t>
      </w:r>
      <w:r w:rsidR="000E48D5">
        <w:rPr>
          <w:rFonts w:ascii="Georgia" w:hAnsi="Georgia"/>
          <w:sz w:val="22"/>
        </w:rPr>
        <w:t xml:space="preserve">will attend to talk </w:t>
      </w:r>
      <w:r w:rsidRPr="003C5F15">
        <w:rPr>
          <w:rFonts w:ascii="Georgia" w:hAnsi="Georgia"/>
          <w:sz w:val="22"/>
        </w:rPr>
        <w:t>about Student Body Elections</w:t>
      </w:r>
      <w:r w:rsidR="000E48D5">
        <w:rPr>
          <w:rFonts w:ascii="Georgia" w:hAnsi="Georgia"/>
          <w:sz w:val="22"/>
        </w:rPr>
        <w:t xml:space="preserve"> promotion.</w:t>
      </w:r>
    </w:p>
    <w:p w:rsidR="00A148F6" w:rsidRPr="003C5F15" w:rsidRDefault="00A148F6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 xml:space="preserve">After Court meeting, Dec. 3, 9:00 PM, </w:t>
      </w:r>
      <w:r w:rsidR="001C78BA" w:rsidRPr="003C5F15">
        <w:rPr>
          <w:rFonts w:ascii="Georgia" w:hAnsi="Georgia"/>
          <w:sz w:val="22"/>
        </w:rPr>
        <w:t>Applebee’s</w:t>
      </w:r>
      <w:r w:rsidR="000E48D5">
        <w:rPr>
          <w:rFonts w:ascii="Georgia" w:hAnsi="Georgia"/>
          <w:sz w:val="22"/>
        </w:rPr>
        <w:t>.</w:t>
      </w:r>
    </w:p>
    <w:p w:rsidR="001C78BA" w:rsidRPr="003C5F15" w:rsidRDefault="001C78BA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Court Orientation Meeting: Tues Nov 28, 6</w:t>
      </w:r>
      <w:r w:rsidR="000E48D5">
        <w:rPr>
          <w:rFonts w:ascii="Georgia" w:hAnsi="Georgia"/>
          <w:sz w:val="22"/>
        </w:rPr>
        <w:t xml:space="preserve">:00 </w:t>
      </w:r>
      <w:r w:rsidRPr="003C5F15">
        <w:rPr>
          <w:rFonts w:ascii="Georgia" w:hAnsi="Georgia"/>
          <w:sz w:val="22"/>
        </w:rPr>
        <w:t>-</w:t>
      </w:r>
      <w:r w:rsidR="000E48D5">
        <w:rPr>
          <w:rFonts w:ascii="Georgia" w:hAnsi="Georgia"/>
          <w:sz w:val="22"/>
        </w:rPr>
        <w:t xml:space="preserve"> </w:t>
      </w:r>
      <w:r w:rsidRPr="003C5F15">
        <w:rPr>
          <w:rFonts w:ascii="Georgia" w:hAnsi="Georgia"/>
          <w:sz w:val="22"/>
        </w:rPr>
        <w:t>6:45</w:t>
      </w:r>
      <w:r w:rsidR="000E48D5">
        <w:rPr>
          <w:rFonts w:ascii="Georgia" w:hAnsi="Georgia"/>
          <w:sz w:val="22"/>
        </w:rPr>
        <w:t xml:space="preserve"> PM</w:t>
      </w:r>
      <w:r w:rsidRPr="003C5F15">
        <w:rPr>
          <w:rFonts w:ascii="Georgia" w:hAnsi="Georgia"/>
          <w:sz w:val="22"/>
        </w:rPr>
        <w:t xml:space="preserve"> – H</w:t>
      </w:r>
      <w:r w:rsidR="000E48D5">
        <w:rPr>
          <w:rFonts w:ascii="Georgia" w:hAnsi="Georgia"/>
          <w:sz w:val="22"/>
        </w:rPr>
        <w:t>ei</w:t>
      </w:r>
      <w:r w:rsidRPr="003C5F15">
        <w:rPr>
          <w:rFonts w:ascii="Georgia" w:hAnsi="Georgia"/>
          <w:sz w:val="22"/>
        </w:rPr>
        <w:t>ne Room</w:t>
      </w:r>
    </w:p>
    <w:p w:rsidR="00A148F6" w:rsidRPr="000E48D5" w:rsidRDefault="0035270B" w:rsidP="000E48D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Review of Action Items</w:t>
      </w:r>
    </w:p>
    <w:p w:rsidR="00A148F6" w:rsidRPr="003C5F15" w:rsidRDefault="000E48D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Melville </w:t>
      </w:r>
      <w:r w:rsidRPr="000E48D5">
        <w:rPr>
          <w:rFonts w:ascii="Georgia" w:hAnsi="Georgia"/>
          <w:sz w:val="22"/>
        </w:rPr>
        <w:sym w:font="Wingdings" w:char="F0E0"/>
      </w:r>
      <w:r>
        <w:rPr>
          <w:rFonts w:ascii="Georgia" w:hAnsi="Georgia"/>
          <w:sz w:val="22"/>
        </w:rPr>
        <w:t xml:space="preserve"> Talk with Commissioner Murray about the next Court meeting</w:t>
      </w:r>
    </w:p>
    <w:p w:rsidR="00A148F6" w:rsidRPr="003C5F15" w:rsidRDefault="000E48D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Melville </w:t>
      </w:r>
      <w:r w:rsidRPr="000E48D5">
        <w:rPr>
          <w:rFonts w:ascii="Georgia" w:hAnsi="Georgia"/>
          <w:sz w:val="22"/>
        </w:rPr>
        <w:sym w:font="Wingdings" w:char="F0E0"/>
      </w:r>
      <w:r w:rsidR="00A148F6" w:rsidRPr="003C5F15">
        <w:rPr>
          <w:rFonts w:ascii="Georgia" w:hAnsi="Georgia"/>
          <w:sz w:val="22"/>
        </w:rPr>
        <w:t>Move Historical Summary</w:t>
      </w:r>
      <w:r w:rsidR="001C78BA" w:rsidRPr="003C5F15">
        <w:rPr>
          <w:rFonts w:ascii="Georgia" w:hAnsi="Georgia"/>
          <w:sz w:val="22"/>
        </w:rPr>
        <w:t xml:space="preserve"> to Book of Court Decisions</w:t>
      </w:r>
    </w:p>
    <w:p w:rsidR="001C78BA" w:rsidRPr="003C5F15" w:rsidRDefault="000E48D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Melville </w:t>
      </w:r>
      <w:r w:rsidRPr="000E48D5">
        <w:rPr>
          <w:rFonts w:ascii="Georgia" w:hAnsi="Georgia"/>
          <w:sz w:val="22"/>
        </w:rPr>
        <w:sym w:font="Wingdings" w:char="F0E0"/>
      </w:r>
      <w:r>
        <w:rPr>
          <w:rFonts w:ascii="Georgia" w:hAnsi="Georgia"/>
          <w:sz w:val="22"/>
        </w:rPr>
        <w:t xml:space="preserve"> Move </w:t>
      </w:r>
      <w:r w:rsidR="001C78BA" w:rsidRPr="003C5F15">
        <w:rPr>
          <w:rFonts w:ascii="Georgia" w:hAnsi="Georgia"/>
          <w:sz w:val="22"/>
        </w:rPr>
        <w:t>Corrective Measures to Rules of the Court</w:t>
      </w:r>
    </w:p>
    <w:p w:rsidR="000E48D5" w:rsidRDefault="000E48D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Melville </w:t>
      </w:r>
      <w:r w:rsidRPr="000E48D5">
        <w:rPr>
          <w:rFonts w:ascii="Georgia" w:hAnsi="Georgia"/>
          <w:sz w:val="22"/>
        </w:rPr>
        <w:sym w:font="Wingdings" w:char="F0E0"/>
      </w:r>
      <w:r>
        <w:rPr>
          <w:rFonts w:ascii="Georgia" w:hAnsi="Georgia"/>
          <w:sz w:val="22"/>
        </w:rPr>
        <w:t xml:space="preserve"> </w:t>
      </w:r>
      <w:r w:rsidRPr="003C5F15">
        <w:rPr>
          <w:rFonts w:ascii="Georgia" w:hAnsi="Georgia"/>
          <w:sz w:val="22"/>
        </w:rPr>
        <w:t>Compile everything into single document</w:t>
      </w:r>
      <w:r>
        <w:rPr>
          <w:rFonts w:ascii="Georgia" w:hAnsi="Georgia"/>
          <w:sz w:val="22"/>
        </w:rPr>
        <w:t xml:space="preserve"> for the Rules of the Court</w:t>
      </w:r>
    </w:p>
    <w:p w:rsidR="001C78BA" w:rsidRPr="000E48D5" w:rsidRDefault="000E48D5" w:rsidP="000E48D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Garrick &amp; Dunwoody </w:t>
      </w:r>
      <w:r w:rsidRPr="000E48D5">
        <w:rPr>
          <w:rFonts w:ascii="Georgia" w:hAnsi="Georgia"/>
          <w:sz w:val="22"/>
        </w:rPr>
        <w:sym w:font="Wingdings" w:char="F0E0"/>
      </w:r>
      <w:r>
        <w:rPr>
          <w:rFonts w:ascii="Georgia" w:hAnsi="Georgia"/>
          <w:sz w:val="22"/>
        </w:rPr>
        <w:t xml:space="preserve"> </w:t>
      </w:r>
      <w:r w:rsidR="001C78BA" w:rsidRPr="003C5F15">
        <w:rPr>
          <w:rFonts w:ascii="Georgia" w:hAnsi="Georgia"/>
          <w:sz w:val="22"/>
        </w:rPr>
        <w:t>Give Court Orientation feedback to Jared</w:t>
      </w:r>
      <w:r>
        <w:rPr>
          <w:rFonts w:ascii="Georgia" w:hAnsi="Georgia"/>
          <w:sz w:val="22"/>
        </w:rPr>
        <w:t xml:space="preserve"> by Tuesday</w:t>
      </w:r>
    </w:p>
    <w:p w:rsidR="001C78BA" w:rsidRDefault="001C78BA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Justices</w:t>
      </w:r>
      <w:r w:rsidR="000E48D5">
        <w:rPr>
          <w:rFonts w:ascii="Georgia" w:hAnsi="Georgia"/>
          <w:sz w:val="22"/>
        </w:rPr>
        <w:t xml:space="preserve"> </w:t>
      </w:r>
      <w:r w:rsidR="000E48D5" w:rsidRPr="000E48D5">
        <w:rPr>
          <w:rFonts w:ascii="Georgia" w:hAnsi="Georgia"/>
          <w:sz w:val="22"/>
        </w:rPr>
        <w:sym w:font="Wingdings" w:char="F0E0"/>
      </w:r>
      <w:r w:rsidR="000E48D5">
        <w:rPr>
          <w:rFonts w:ascii="Georgia" w:hAnsi="Georgia"/>
          <w:sz w:val="22"/>
        </w:rPr>
        <w:t xml:space="preserve"> S</w:t>
      </w:r>
      <w:r w:rsidRPr="003C5F15">
        <w:rPr>
          <w:rFonts w:ascii="Georgia" w:hAnsi="Georgia"/>
          <w:sz w:val="22"/>
        </w:rPr>
        <w:t>end Spring 2018 Rockpile suggestions to Jared</w:t>
      </w:r>
    </w:p>
    <w:p w:rsidR="000E48D5" w:rsidRPr="003C5F15" w:rsidRDefault="000E48D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Justices </w:t>
      </w:r>
      <w:r w:rsidRPr="000E48D5">
        <w:rPr>
          <w:rFonts w:ascii="Georgia" w:hAnsi="Georgia"/>
          <w:sz w:val="22"/>
        </w:rPr>
        <w:sym w:font="Wingdings" w:char="F0E0"/>
      </w:r>
      <w:r>
        <w:rPr>
          <w:rFonts w:ascii="Georgia" w:hAnsi="Georgia"/>
          <w:sz w:val="22"/>
        </w:rPr>
        <w:t xml:space="preserve"> Respond to Qualtrics survey regarding Court meeting times</w:t>
      </w:r>
    </w:p>
    <w:p w:rsidR="005A42E4" w:rsidRPr="003C5F15" w:rsidRDefault="00255A92" w:rsidP="003C5F15">
      <w:pPr>
        <w:pStyle w:val="ListParagraph"/>
        <w:numPr>
          <w:ilvl w:val="0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Adjourn</w:t>
      </w:r>
    </w:p>
    <w:p w:rsidR="001C78BA" w:rsidRPr="003C5F15" w:rsidRDefault="001C78BA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Motion: Quinn</w:t>
      </w:r>
    </w:p>
    <w:p w:rsidR="001C78BA" w:rsidRPr="003C5F15" w:rsidRDefault="001C78BA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 w:rsidRPr="003C5F15">
        <w:rPr>
          <w:rFonts w:ascii="Georgia" w:hAnsi="Georgia"/>
          <w:sz w:val="22"/>
        </w:rPr>
        <w:t>Second: Ka</w:t>
      </w:r>
      <w:r w:rsidR="000E48D5">
        <w:rPr>
          <w:rFonts w:ascii="Georgia" w:hAnsi="Georgia"/>
          <w:sz w:val="22"/>
        </w:rPr>
        <w:t>cy</w:t>
      </w:r>
    </w:p>
    <w:p w:rsidR="001C78BA" w:rsidRPr="003C5F15" w:rsidRDefault="000E48D5" w:rsidP="003C5F15">
      <w:pPr>
        <w:pStyle w:val="ListParagraph"/>
        <w:numPr>
          <w:ilvl w:val="1"/>
          <w:numId w:val="15"/>
        </w:numPr>
        <w:spacing w:after="160"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Adjourned at 9:03 PM.</w:t>
      </w:r>
      <w:r w:rsidR="001C78BA" w:rsidRPr="003C5F15">
        <w:rPr>
          <w:rFonts w:ascii="Georgia" w:hAnsi="Georgia"/>
          <w:sz w:val="22"/>
        </w:rPr>
        <w:t xml:space="preserve"> </w:t>
      </w:r>
    </w:p>
    <w:sectPr w:rsidR="001C78BA" w:rsidRPr="003C5F15" w:rsidSect="00E31CBB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23" w:rsidRDefault="006C3623">
      <w:r>
        <w:separator/>
      </w:r>
    </w:p>
  </w:endnote>
  <w:endnote w:type="continuationSeparator" w:id="0">
    <w:p w:rsidR="006C3623" w:rsidRDefault="006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D5" w:rsidRPr="000E48D5" w:rsidRDefault="000E48D5">
    <w:pPr>
      <w:pStyle w:val="Footer"/>
      <w:rPr>
        <w:rFonts w:ascii="Georgia" w:hAnsi="Georgia"/>
      </w:rPr>
    </w:pPr>
    <w:r w:rsidRPr="000E48D5">
      <w:rPr>
        <w:rFonts w:ascii="Georgia" w:hAnsi="Georgia"/>
      </w:rPr>
      <w:t xml:space="preserve">Page </w:t>
    </w:r>
    <w:sdt>
      <w:sdtPr>
        <w:rPr>
          <w:rFonts w:ascii="Georgia" w:hAnsi="Georgia"/>
        </w:rPr>
        <w:id w:val="13372725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E48D5">
          <w:rPr>
            <w:rFonts w:ascii="Georgia" w:hAnsi="Georgia"/>
          </w:rPr>
          <w:fldChar w:fldCharType="begin"/>
        </w:r>
        <w:r w:rsidRPr="000E48D5">
          <w:rPr>
            <w:rFonts w:ascii="Georgia" w:hAnsi="Georgia"/>
          </w:rPr>
          <w:instrText xml:space="preserve"> PAGE   \* MERGEFORMAT </w:instrText>
        </w:r>
        <w:r w:rsidRPr="000E48D5">
          <w:rPr>
            <w:rFonts w:ascii="Georgia" w:hAnsi="Georgia"/>
          </w:rPr>
          <w:fldChar w:fldCharType="separate"/>
        </w:r>
        <w:r w:rsidR="009E0CD6">
          <w:rPr>
            <w:rFonts w:ascii="Georgia" w:hAnsi="Georgia"/>
            <w:noProof/>
          </w:rPr>
          <w:t>5</w:t>
        </w:r>
        <w:r w:rsidRPr="000E48D5">
          <w:rPr>
            <w:rFonts w:ascii="Georgia" w:hAnsi="Georgia"/>
            <w:noProof/>
          </w:rPr>
          <w:fldChar w:fldCharType="end"/>
        </w:r>
      </w:sdtContent>
    </w:sdt>
    <w:r w:rsidRPr="000E48D5">
      <w:rPr>
        <w:rFonts w:ascii="Georgia" w:hAnsi="Georgia"/>
        <w:noProof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23" w:rsidRDefault="006C3623">
      <w:r>
        <w:separator/>
      </w:r>
    </w:p>
  </w:footnote>
  <w:footnote w:type="continuationSeparator" w:id="0">
    <w:p w:rsidR="006C3623" w:rsidRDefault="006C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287" w:rsidRDefault="00E91287" w:rsidP="004E0DAB">
    <w:pPr>
      <w:pStyle w:val="Header"/>
      <w:jc w:val="center"/>
    </w:pPr>
    <w:r>
      <w:rPr>
        <w:noProof/>
      </w:rPr>
      <w:drawing>
        <wp:inline distT="0" distB="0" distL="0" distR="0" wp14:anchorId="3D4D8927" wp14:editId="629373B5">
          <wp:extent cx="5486400" cy="1087857"/>
          <wp:effectExtent l="0" t="0" r="0" b="0"/>
          <wp:docPr id="3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7ED"/>
    <w:multiLevelType w:val="hybridMultilevel"/>
    <w:tmpl w:val="04D26974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51"/>
    <w:rsid w:val="00002465"/>
    <w:rsid w:val="00002C17"/>
    <w:rsid w:val="00003EA7"/>
    <w:rsid w:val="00006747"/>
    <w:rsid w:val="0001737F"/>
    <w:rsid w:val="0002039C"/>
    <w:rsid w:val="00022938"/>
    <w:rsid w:val="00026648"/>
    <w:rsid w:val="00030F56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4F6B"/>
    <w:rsid w:val="000768F4"/>
    <w:rsid w:val="00080758"/>
    <w:rsid w:val="000834A1"/>
    <w:rsid w:val="000857A0"/>
    <w:rsid w:val="00095301"/>
    <w:rsid w:val="00097B8E"/>
    <w:rsid w:val="000A3550"/>
    <w:rsid w:val="000A38DF"/>
    <w:rsid w:val="000A4470"/>
    <w:rsid w:val="000B13B5"/>
    <w:rsid w:val="000B2F24"/>
    <w:rsid w:val="000B3B9D"/>
    <w:rsid w:val="000B4FE3"/>
    <w:rsid w:val="000C15DE"/>
    <w:rsid w:val="000C4AC4"/>
    <w:rsid w:val="000C6E7A"/>
    <w:rsid w:val="000C6F3A"/>
    <w:rsid w:val="000C7F9A"/>
    <w:rsid w:val="000D38E6"/>
    <w:rsid w:val="000D671B"/>
    <w:rsid w:val="000E1A1D"/>
    <w:rsid w:val="000E2B03"/>
    <w:rsid w:val="000E48D5"/>
    <w:rsid w:val="000E6163"/>
    <w:rsid w:val="000E69F1"/>
    <w:rsid w:val="001032FA"/>
    <w:rsid w:val="0010331A"/>
    <w:rsid w:val="00105831"/>
    <w:rsid w:val="00113561"/>
    <w:rsid w:val="0011576D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4CB1"/>
    <w:rsid w:val="001550DF"/>
    <w:rsid w:val="00156DF9"/>
    <w:rsid w:val="00157C56"/>
    <w:rsid w:val="001627BE"/>
    <w:rsid w:val="001654C5"/>
    <w:rsid w:val="00165F17"/>
    <w:rsid w:val="0016605F"/>
    <w:rsid w:val="00166DB8"/>
    <w:rsid w:val="00176979"/>
    <w:rsid w:val="00176FF5"/>
    <w:rsid w:val="0018664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C78BA"/>
    <w:rsid w:val="001D05F5"/>
    <w:rsid w:val="001D1FF3"/>
    <w:rsid w:val="001D318A"/>
    <w:rsid w:val="001D5100"/>
    <w:rsid w:val="001F2804"/>
    <w:rsid w:val="001F4541"/>
    <w:rsid w:val="001F5D8A"/>
    <w:rsid w:val="001F7711"/>
    <w:rsid w:val="00204313"/>
    <w:rsid w:val="002078B1"/>
    <w:rsid w:val="0021214F"/>
    <w:rsid w:val="0021413E"/>
    <w:rsid w:val="00214CCC"/>
    <w:rsid w:val="002152AE"/>
    <w:rsid w:val="00220EA0"/>
    <w:rsid w:val="00223EFB"/>
    <w:rsid w:val="00236F67"/>
    <w:rsid w:val="002401E7"/>
    <w:rsid w:val="00241C97"/>
    <w:rsid w:val="00252246"/>
    <w:rsid w:val="00252809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75C17"/>
    <w:rsid w:val="00281AAE"/>
    <w:rsid w:val="00283FD7"/>
    <w:rsid w:val="002A1E28"/>
    <w:rsid w:val="002A29C3"/>
    <w:rsid w:val="002A2D0A"/>
    <w:rsid w:val="002B2CF8"/>
    <w:rsid w:val="002B7166"/>
    <w:rsid w:val="002C1B37"/>
    <w:rsid w:val="002C26A3"/>
    <w:rsid w:val="002C6313"/>
    <w:rsid w:val="002D7BD0"/>
    <w:rsid w:val="002E75EB"/>
    <w:rsid w:val="002E7B39"/>
    <w:rsid w:val="00300B70"/>
    <w:rsid w:val="003054A3"/>
    <w:rsid w:val="00305818"/>
    <w:rsid w:val="0031030D"/>
    <w:rsid w:val="00316AD5"/>
    <w:rsid w:val="00325777"/>
    <w:rsid w:val="00327165"/>
    <w:rsid w:val="0033401F"/>
    <w:rsid w:val="0033430B"/>
    <w:rsid w:val="00337FA5"/>
    <w:rsid w:val="00340EEE"/>
    <w:rsid w:val="0035028F"/>
    <w:rsid w:val="00351B26"/>
    <w:rsid w:val="0035270B"/>
    <w:rsid w:val="00363C94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362E"/>
    <w:rsid w:val="003A4854"/>
    <w:rsid w:val="003A79F3"/>
    <w:rsid w:val="003B05AB"/>
    <w:rsid w:val="003B1E2F"/>
    <w:rsid w:val="003B3997"/>
    <w:rsid w:val="003B7DBF"/>
    <w:rsid w:val="003C1E45"/>
    <w:rsid w:val="003C5F15"/>
    <w:rsid w:val="003C6981"/>
    <w:rsid w:val="003C72B7"/>
    <w:rsid w:val="003D2BA1"/>
    <w:rsid w:val="003D6E51"/>
    <w:rsid w:val="003E0E1B"/>
    <w:rsid w:val="003E1BA5"/>
    <w:rsid w:val="003E41E6"/>
    <w:rsid w:val="003E7C54"/>
    <w:rsid w:val="003F046D"/>
    <w:rsid w:val="003F05DE"/>
    <w:rsid w:val="003F38A2"/>
    <w:rsid w:val="003F5248"/>
    <w:rsid w:val="003F5776"/>
    <w:rsid w:val="00401194"/>
    <w:rsid w:val="00410202"/>
    <w:rsid w:val="00411AC1"/>
    <w:rsid w:val="00413B33"/>
    <w:rsid w:val="0041736E"/>
    <w:rsid w:val="00417939"/>
    <w:rsid w:val="004247EE"/>
    <w:rsid w:val="0042535E"/>
    <w:rsid w:val="004311FE"/>
    <w:rsid w:val="0043653C"/>
    <w:rsid w:val="00440A22"/>
    <w:rsid w:val="00442365"/>
    <w:rsid w:val="00442D07"/>
    <w:rsid w:val="004565E4"/>
    <w:rsid w:val="0046720D"/>
    <w:rsid w:val="00470817"/>
    <w:rsid w:val="00471D28"/>
    <w:rsid w:val="00476BED"/>
    <w:rsid w:val="004811F4"/>
    <w:rsid w:val="00481723"/>
    <w:rsid w:val="00481809"/>
    <w:rsid w:val="00487F74"/>
    <w:rsid w:val="00493289"/>
    <w:rsid w:val="00495E99"/>
    <w:rsid w:val="004A2622"/>
    <w:rsid w:val="004A45B9"/>
    <w:rsid w:val="004A7554"/>
    <w:rsid w:val="004C13D9"/>
    <w:rsid w:val="004C170E"/>
    <w:rsid w:val="004C5ADD"/>
    <w:rsid w:val="004D2610"/>
    <w:rsid w:val="004D3157"/>
    <w:rsid w:val="004E0DAB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3672"/>
    <w:rsid w:val="00520CCD"/>
    <w:rsid w:val="00520F5E"/>
    <w:rsid w:val="0052106F"/>
    <w:rsid w:val="005219AA"/>
    <w:rsid w:val="00524CBD"/>
    <w:rsid w:val="005436C0"/>
    <w:rsid w:val="005450EE"/>
    <w:rsid w:val="005477C6"/>
    <w:rsid w:val="005522F8"/>
    <w:rsid w:val="00553351"/>
    <w:rsid w:val="00555FCE"/>
    <w:rsid w:val="00556F5F"/>
    <w:rsid w:val="00557B09"/>
    <w:rsid w:val="00561865"/>
    <w:rsid w:val="005659D1"/>
    <w:rsid w:val="00566BEE"/>
    <w:rsid w:val="005711A3"/>
    <w:rsid w:val="00571EBD"/>
    <w:rsid w:val="00581B4B"/>
    <w:rsid w:val="00582497"/>
    <w:rsid w:val="005971DE"/>
    <w:rsid w:val="005A42E4"/>
    <w:rsid w:val="005A637A"/>
    <w:rsid w:val="005B6B4B"/>
    <w:rsid w:val="005D2C91"/>
    <w:rsid w:val="005D526E"/>
    <w:rsid w:val="005E2333"/>
    <w:rsid w:val="005E33E1"/>
    <w:rsid w:val="005F42F7"/>
    <w:rsid w:val="006039C5"/>
    <w:rsid w:val="00604D48"/>
    <w:rsid w:val="00604E8C"/>
    <w:rsid w:val="006143E9"/>
    <w:rsid w:val="0062395B"/>
    <w:rsid w:val="006279AA"/>
    <w:rsid w:val="00631184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0E06"/>
    <w:rsid w:val="00693CD9"/>
    <w:rsid w:val="00696E22"/>
    <w:rsid w:val="006A17F1"/>
    <w:rsid w:val="006A302F"/>
    <w:rsid w:val="006A5CD5"/>
    <w:rsid w:val="006A639D"/>
    <w:rsid w:val="006B1913"/>
    <w:rsid w:val="006C0F85"/>
    <w:rsid w:val="006C3623"/>
    <w:rsid w:val="006D17F2"/>
    <w:rsid w:val="006D545E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34016"/>
    <w:rsid w:val="007365D7"/>
    <w:rsid w:val="007429BF"/>
    <w:rsid w:val="0074362F"/>
    <w:rsid w:val="007454F3"/>
    <w:rsid w:val="00745C60"/>
    <w:rsid w:val="00750B9A"/>
    <w:rsid w:val="0075429A"/>
    <w:rsid w:val="00766F93"/>
    <w:rsid w:val="00770B39"/>
    <w:rsid w:val="00773BDB"/>
    <w:rsid w:val="00775108"/>
    <w:rsid w:val="00780405"/>
    <w:rsid w:val="007819D0"/>
    <w:rsid w:val="00783F7E"/>
    <w:rsid w:val="007871CB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F6E"/>
    <w:rsid w:val="007F2C41"/>
    <w:rsid w:val="007F4F60"/>
    <w:rsid w:val="00801579"/>
    <w:rsid w:val="0080296D"/>
    <w:rsid w:val="00803DE5"/>
    <w:rsid w:val="008042DB"/>
    <w:rsid w:val="00804545"/>
    <w:rsid w:val="00807890"/>
    <w:rsid w:val="00812467"/>
    <w:rsid w:val="00817E6D"/>
    <w:rsid w:val="00821BCE"/>
    <w:rsid w:val="0082476E"/>
    <w:rsid w:val="00826EFF"/>
    <w:rsid w:val="00833770"/>
    <w:rsid w:val="008373B4"/>
    <w:rsid w:val="0083797B"/>
    <w:rsid w:val="00843F49"/>
    <w:rsid w:val="00845B0E"/>
    <w:rsid w:val="00845F64"/>
    <w:rsid w:val="00850411"/>
    <w:rsid w:val="008524B0"/>
    <w:rsid w:val="00854082"/>
    <w:rsid w:val="00856498"/>
    <w:rsid w:val="00857973"/>
    <w:rsid w:val="00863CC2"/>
    <w:rsid w:val="00863EA1"/>
    <w:rsid w:val="0086484B"/>
    <w:rsid w:val="00866789"/>
    <w:rsid w:val="00866E60"/>
    <w:rsid w:val="00880014"/>
    <w:rsid w:val="00891CC9"/>
    <w:rsid w:val="0089618C"/>
    <w:rsid w:val="008A342A"/>
    <w:rsid w:val="008B4960"/>
    <w:rsid w:val="008B5618"/>
    <w:rsid w:val="008B5C80"/>
    <w:rsid w:val="008C2CC9"/>
    <w:rsid w:val="008C41D7"/>
    <w:rsid w:val="008C7966"/>
    <w:rsid w:val="008D0617"/>
    <w:rsid w:val="008D1985"/>
    <w:rsid w:val="008D2C81"/>
    <w:rsid w:val="008D3A53"/>
    <w:rsid w:val="008E16D8"/>
    <w:rsid w:val="008F0ED0"/>
    <w:rsid w:val="008F4B21"/>
    <w:rsid w:val="008F53D0"/>
    <w:rsid w:val="0090213C"/>
    <w:rsid w:val="00904037"/>
    <w:rsid w:val="0091763E"/>
    <w:rsid w:val="009230A1"/>
    <w:rsid w:val="00925DE5"/>
    <w:rsid w:val="009370B7"/>
    <w:rsid w:val="00942744"/>
    <w:rsid w:val="00942F88"/>
    <w:rsid w:val="00955CE2"/>
    <w:rsid w:val="00957D33"/>
    <w:rsid w:val="00963510"/>
    <w:rsid w:val="009676C6"/>
    <w:rsid w:val="00971B94"/>
    <w:rsid w:val="00976E88"/>
    <w:rsid w:val="00994C2C"/>
    <w:rsid w:val="009957A5"/>
    <w:rsid w:val="00996182"/>
    <w:rsid w:val="00996F98"/>
    <w:rsid w:val="009A1EC7"/>
    <w:rsid w:val="009A2B21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0CD6"/>
    <w:rsid w:val="009E595A"/>
    <w:rsid w:val="009E6219"/>
    <w:rsid w:val="00A01115"/>
    <w:rsid w:val="00A0479B"/>
    <w:rsid w:val="00A132AC"/>
    <w:rsid w:val="00A13EA0"/>
    <w:rsid w:val="00A148F6"/>
    <w:rsid w:val="00A170B5"/>
    <w:rsid w:val="00A262F2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91F92"/>
    <w:rsid w:val="00AA188B"/>
    <w:rsid w:val="00AA665B"/>
    <w:rsid w:val="00AA75A4"/>
    <w:rsid w:val="00AB6028"/>
    <w:rsid w:val="00AD0CDD"/>
    <w:rsid w:val="00AD56B8"/>
    <w:rsid w:val="00AD7C14"/>
    <w:rsid w:val="00AE739F"/>
    <w:rsid w:val="00AE75A8"/>
    <w:rsid w:val="00AE7E87"/>
    <w:rsid w:val="00AF1BE4"/>
    <w:rsid w:val="00AF67C7"/>
    <w:rsid w:val="00B0261C"/>
    <w:rsid w:val="00B02D8D"/>
    <w:rsid w:val="00B11A31"/>
    <w:rsid w:val="00B13E5B"/>
    <w:rsid w:val="00B14C7E"/>
    <w:rsid w:val="00B22603"/>
    <w:rsid w:val="00B22F72"/>
    <w:rsid w:val="00B25E29"/>
    <w:rsid w:val="00B326F9"/>
    <w:rsid w:val="00B33C9C"/>
    <w:rsid w:val="00B36498"/>
    <w:rsid w:val="00B47769"/>
    <w:rsid w:val="00B55303"/>
    <w:rsid w:val="00B60062"/>
    <w:rsid w:val="00B66989"/>
    <w:rsid w:val="00B67464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B4E50"/>
    <w:rsid w:val="00BD08AC"/>
    <w:rsid w:val="00BD0B2A"/>
    <w:rsid w:val="00BD2F84"/>
    <w:rsid w:val="00BD4041"/>
    <w:rsid w:val="00BD5F6F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931"/>
    <w:rsid w:val="00C10AC3"/>
    <w:rsid w:val="00C11210"/>
    <w:rsid w:val="00C174E7"/>
    <w:rsid w:val="00C26FC2"/>
    <w:rsid w:val="00C31E42"/>
    <w:rsid w:val="00C35992"/>
    <w:rsid w:val="00C40877"/>
    <w:rsid w:val="00C523FF"/>
    <w:rsid w:val="00C560A4"/>
    <w:rsid w:val="00C5728D"/>
    <w:rsid w:val="00C61C72"/>
    <w:rsid w:val="00C6290F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C7AB8"/>
    <w:rsid w:val="00CD1FA8"/>
    <w:rsid w:val="00CD47F9"/>
    <w:rsid w:val="00CD533D"/>
    <w:rsid w:val="00CD6703"/>
    <w:rsid w:val="00CD7B15"/>
    <w:rsid w:val="00CE7E36"/>
    <w:rsid w:val="00CF0855"/>
    <w:rsid w:val="00CF3305"/>
    <w:rsid w:val="00CF6842"/>
    <w:rsid w:val="00D00449"/>
    <w:rsid w:val="00D01619"/>
    <w:rsid w:val="00D020ED"/>
    <w:rsid w:val="00D03539"/>
    <w:rsid w:val="00D036A8"/>
    <w:rsid w:val="00D042B5"/>
    <w:rsid w:val="00D04538"/>
    <w:rsid w:val="00D15617"/>
    <w:rsid w:val="00D22593"/>
    <w:rsid w:val="00D25758"/>
    <w:rsid w:val="00D267AE"/>
    <w:rsid w:val="00D30A96"/>
    <w:rsid w:val="00D31547"/>
    <w:rsid w:val="00D36799"/>
    <w:rsid w:val="00D41DB1"/>
    <w:rsid w:val="00D50B67"/>
    <w:rsid w:val="00D579C0"/>
    <w:rsid w:val="00D7029D"/>
    <w:rsid w:val="00D70C9A"/>
    <w:rsid w:val="00D7291D"/>
    <w:rsid w:val="00D81F98"/>
    <w:rsid w:val="00D82285"/>
    <w:rsid w:val="00D832CF"/>
    <w:rsid w:val="00D842B7"/>
    <w:rsid w:val="00D90377"/>
    <w:rsid w:val="00D922B6"/>
    <w:rsid w:val="00D926A2"/>
    <w:rsid w:val="00D93E56"/>
    <w:rsid w:val="00D94DC9"/>
    <w:rsid w:val="00D969E8"/>
    <w:rsid w:val="00D96CC6"/>
    <w:rsid w:val="00DA088C"/>
    <w:rsid w:val="00DA0F2E"/>
    <w:rsid w:val="00DA2139"/>
    <w:rsid w:val="00DA4021"/>
    <w:rsid w:val="00DA619B"/>
    <w:rsid w:val="00DC0AFA"/>
    <w:rsid w:val="00DC0F8A"/>
    <w:rsid w:val="00DD06CA"/>
    <w:rsid w:val="00DD4567"/>
    <w:rsid w:val="00DD4C80"/>
    <w:rsid w:val="00DD4DE6"/>
    <w:rsid w:val="00DD4EBE"/>
    <w:rsid w:val="00DE351B"/>
    <w:rsid w:val="00DE53C4"/>
    <w:rsid w:val="00E01A4B"/>
    <w:rsid w:val="00E02E88"/>
    <w:rsid w:val="00E04B46"/>
    <w:rsid w:val="00E062AF"/>
    <w:rsid w:val="00E125C6"/>
    <w:rsid w:val="00E174BC"/>
    <w:rsid w:val="00E2576C"/>
    <w:rsid w:val="00E2723B"/>
    <w:rsid w:val="00E27B46"/>
    <w:rsid w:val="00E31CBB"/>
    <w:rsid w:val="00E342F4"/>
    <w:rsid w:val="00E3702F"/>
    <w:rsid w:val="00E54793"/>
    <w:rsid w:val="00E570F3"/>
    <w:rsid w:val="00E628B0"/>
    <w:rsid w:val="00E63AA6"/>
    <w:rsid w:val="00E66A30"/>
    <w:rsid w:val="00E66A3D"/>
    <w:rsid w:val="00E70B1F"/>
    <w:rsid w:val="00E82C09"/>
    <w:rsid w:val="00E90F00"/>
    <w:rsid w:val="00E91287"/>
    <w:rsid w:val="00E91DDB"/>
    <w:rsid w:val="00E926EF"/>
    <w:rsid w:val="00E951A1"/>
    <w:rsid w:val="00E965F8"/>
    <w:rsid w:val="00EA2D0B"/>
    <w:rsid w:val="00EA2D20"/>
    <w:rsid w:val="00EB419F"/>
    <w:rsid w:val="00EB5984"/>
    <w:rsid w:val="00EC6565"/>
    <w:rsid w:val="00ED1C98"/>
    <w:rsid w:val="00EE752D"/>
    <w:rsid w:val="00F02CAA"/>
    <w:rsid w:val="00F064EF"/>
    <w:rsid w:val="00F11CA3"/>
    <w:rsid w:val="00F17468"/>
    <w:rsid w:val="00F27321"/>
    <w:rsid w:val="00F279AC"/>
    <w:rsid w:val="00F34AA3"/>
    <w:rsid w:val="00F359AF"/>
    <w:rsid w:val="00F42874"/>
    <w:rsid w:val="00F438E6"/>
    <w:rsid w:val="00F5038C"/>
    <w:rsid w:val="00F52AEA"/>
    <w:rsid w:val="00F53A8E"/>
    <w:rsid w:val="00F557E0"/>
    <w:rsid w:val="00F55BAD"/>
    <w:rsid w:val="00F71C07"/>
    <w:rsid w:val="00F73957"/>
    <w:rsid w:val="00F74E67"/>
    <w:rsid w:val="00F82622"/>
    <w:rsid w:val="00F86434"/>
    <w:rsid w:val="00F90637"/>
    <w:rsid w:val="00F92A81"/>
    <w:rsid w:val="00F95147"/>
    <w:rsid w:val="00F9599B"/>
    <w:rsid w:val="00FA3050"/>
    <w:rsid w:val="00FA37A6"/>
    <w:rsid w:val="00FA471C"/>
    <w:rsid w:val="00FC0159"/>
    <w:rsid w:val="00FD3006"/>
    <w:rsid w:val="00FD4C6E"/>
    <w:rsid w:val="00FE2161"/>
    <w:rsid w:val="00FE2759"/>
    <w:rsid w:val="00FE364D"/>
    <w:rsid w:val="00FE6CC4"/>
    <w:rsid w:val="00FE6FAB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6CAFC"/>
  <w15:docId w15:val="{CB9F40EA-6B30-479A-B6AC-1F8C7A7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1A59-4ED5-4B31-B4CE-61E3B9FB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Jared Melville</cp:lastModifiedBy>
  <cp:revision>3</cp:revision>
  <cp:lastPrinted>2016-03-07T15:37:00Z</cp:lastPrinted>
  <dcterms:created xsi:type="dcterms:W3CDTF">2017-11-27T15:41:00Z</dcterms:created>
  <dcterms:modified xsi:type="dcterms:W3CDTF">2017-11-27T15:41:00Z</dcterms:modified>
</cp:coreProperties>
</file>