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A178" w14:textId="7AF94F67" w:rsidR="00FD4D90" w:rsidRPr="00FD4D90" w:rsidRDefault="004A4A5B" w:rsidP="005D203A">
      <w:pPr>
        <w:spacing w:after="0" w:line="240" w:lineRule="auto"/>
        <w:jc w:val="center"/>
        <w:rPr>
          <w:rFonts w:ascii="Rockwell" w:hAnsi="Rockwell" w:cstheme="minorHAnsi"/>
          <w:b/>
          <w:bCs/>
          <w:sz w:val="24"/>
          <w:szCs w:val="24"/>
        </w:rPr>
      </w:pPr>
      <w:r w:rsidRPr="00FD4D90">
        <w:rPr>
          <w:rFonts w:ascii="Rockwell" w:hAnsi="Rockwell" w:cstheme="minorHAnsi"/>
          <w:b/>
          <w:bCs/>
          <w:sz w:val="24"/>
          <w:szCs w:val="24"/>
        </w:rPr>
        <w:t>POST EXPOSURE PROPHYLAXIX FOR NONOCCUPATIONAL EXPO</w:t>
      </w:r>
      <w:r w:rsidR="005B102E" w:rsidRPr="00FD4D90">
        <w:rPr>
          <w:rFonts w:ascii="Rockwell" w:hAnsi="Rockwell" w:cstheme="minorHAnsi"/>
          <w:b/>
          <w:bCs/>
          <w:sz w:val="24"/>
          <w:szCs w:val="24"/>
        </w:rPr>
        <w:t>S</w:t>
      </w:r>
      <w:r w:rsidRPr="00FD4D90">
        <w:rPr>
          <w:rFonts w:ascii="Rockwell" w:hAnsi="Rockwell" w:cstheme="minorHAnsi"/>
          <w:b/>
          <w:bCs/>
          <w:sz w:val="24"/>
          <w:szCs w:val="24"/>
        </w:rPr>
        <w:t>URE TO HIV (HIV PEP)</w:t>
      </w:r>
    </w:p>
    <w:p w14:paraId="000D013C" w14:textId="7EA397A2" w:rsidR="00F451CC" w:rsidRPr="00FD4D90" w:rsidRDefault="00105DD9" w:rsidP="005D203A">
      <w:pPr>
        <w:spacing w:after="0" w:line="240" w:lineRule="auto"/>
        <w:jc w:val="center"/>
        <w:rPr>
          <w:rFonts w:ascii="Rockwell" w:hAnsi="Rockwell" w:cstheme="minorHAnsi"/>
          <w:b/>
          <w:bCs/>
          <w:sz w:val="24"/>
          <w:szCs w:val="24"/>
        </w:rPr>
      </w:pPr>
      <w:r w:rsidRPr="00FD4D90">
        <w:rPr>
          <w:rFonts w:ascii="Rockwell" w:hAnsi="Rockwell" w:cstheme="minorHAnsi"/>
          <w:b/>
          <w:bCs/>
          <w:sz w:val="24"/>
          <w:szCs w:val="24"/>
        </w:rPr>
        <w:t xml:space="preserve">Pharmacy </w:t>
      </w:r>
      <w:r w:rsidR="004A34F1" w:rsidRPr="00FD4D90">
        <w:rPr>
          <w:rFonts w:ascii="Rockwell" w:hAnsi="Rockwell" w:cstheme="minorHAnsi"/>
          <w:b/>
          <w:bCs/>
          <w:sz w:val="24"/>
          <w:szCs w:val="24"/>
        </w:rPr>
        <w:t>Assessment Protocol</w:t>
      </w:r>
    </w:p>
    <w:p w14:paraId="647D464D" w14:textId="77777777" w:rsidR="00626245" w:rsidRPr="00FD4D90" w:rsidRDefault="00626245" w:rsidP="00642975">
      <w:pPr>
        <w:spacing w:after="0" w:line="240" w:lineRule="auto"/>
        <w:rPr>
          <w:rFonts w:ascii="Rockwell" w:eastAsia="Times New Roman" w:hAnsi="Rockwell" w:cstheme="minorHAnsi"/>
          <w:sz w:val="24"/>
          <w:szCs w:val="24"/>
        </w:rPr>
      </w:pPr>
    </w:p>
    <w:p w14:paraId="29922394" w14:textId="10E9FCAB" w:rsidR="00F451CC" w:rsidRPr="00FD4D90" w:rsidRDefault="00626245" w:rsidP="005D203A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b/>
          <w:bCs/>
        </w:rPr>
        <w:t>ELIGIBILITY FOR SERVICE</w:t>
      </w:r>
    </w:p>
    <w:p w14:paraId="1A43903F" w14:textId="4968107D" w:rsidR="005D203A" w:rsidRPr="00FD4D90" w:rsidRDefault="00A21A70" w:rsidP="005D203A">
      <w:pPr>
        <w:spacing w:after="0" w:line="240" w:lineRule="auto"/>
        <w:rPr>
          <w:rFonts w:ascii="Rockwell" w:hAnsi="Rockwell" w:cstheme="minorHAnsi"/>
        </w:rPr>
      </w:pPr>
      <w:bookmarkStart w:id="0" w:name="_Hlk154576533"/>
      <w:r w:rsidRPr="00FD4D90">
        <w:rPr>
          <w:rFonts w:ascii="Rockwell" w:hAnsi="Rockwell" w:cstheme="minorHAnsi"/>
        </w:rPr>
        <w:t xml:space="preserve">Patients who meet the following criteria </w:t>
      </w:r>
      <w:r w:rsidR="005B102E" w:rsidRPr="00FD4D90">
        <w:rPr>
          <w:rFonts w:ascii="Rockwell" w:hAnsi="Rockwell" w:cstheme="minorHAnsi"/>
        </w:rPr>
        <w:t>a</w:t>
      </w:r>
      <w:r w:rsidRPr="00FD4D90">
        <w:rPr>
          <w:rFonts w:ascii="Rockwell" w:hAnsi="Rockwell" w:cstheme="minorHAnsi"/>
        </w:rPr>
        <w:t xml:space="preserve">re </w:t>
      </w:r>
      <w:r w:rsidR="00411ED7" w:rsidRPr="00FD4D90">
        <w:rPr>
          <w:rFonts w:ascii="Rockwell" w:hAnsi="Rockwell" w:cstheme="minorHAnsi"/>
        </w:rPr>
        <w:t>eligible</w:t>
      </w:r>
      <w:r w:rsidRPr="00FD4D90">
        <w:rPr>
          <w:rFonts w:ascii="Rockwell" w:hAnsi="Rockwell" w:cstheme="minorHAnsi"/>
        </w:rPr>
        <w:t xml:space="preserve"> for post-exposure </w:t>
      </w:r>
      <w:r w:rsidR="00411ED7" w:rsidRPr="00FD4D90">
        <w:rPr>
          <w:rFonts w:ascii="Rockwell" w:hAnsi="Rockwell" w:cstheme="minorHAnsi"/>
        </w:rPr>
        <w:t>prophylaxis:</w:t>
      </w:r>
    </w:p>
    <w:bookmarkEnd w:id="0"/>
    <w:p w14:paraId="6F978228" w14:textId="4395A578" w:rsidR="00DB4200" w:rsidRPr="00FD4D90" w:rsidRDefault="00411ED7" w:rsidP="00DB4200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Potential exposure is non-occupational in nature</w:t>
      </w:r>
    </w:p>
    <w:p w14:paraId="0C8EB6AC" w14:textId="6DCC2FC9" w:rsidR="00564916" w:rsidRPr="00FD4D90" w:rsidRDefault="00411ED7" w:rsidP="00CF6605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Potential exposure occurred after a single high-risk event</w:t>
      </w:r>
      <w:r w:rsidR="00B40C87" w:rsidRPr="00FD4D90">
        <w:rPr>
          <w:rFonts w:ascii="Rockwell" w:hAnsi="Rockwell" w:cstheme="minorHAnsi"/>
        </w:rPr>
        <w:t xml:space="preserve"> within the </w:t>
      </w:r>
      <w:r w:rsidR="00B40C87" w:rsidRPr="00FD4D90">
        <w:rPr>
          <w:rFonts w:ascii="Rockwell" w:hAnsi="Rockwell" w:cstheme="minorHAnsi"/>
          <w:b/>
          <w:bCs/>
        </w:rPr>
        <w:t>past 72 hours</w:t>
      </w:r>
    </w:p>
    <w:p w14:paraId="4D52167F" w14:textId="43BE78B5" w:rsidR="00FD4D90" w:rsidRPr="00FD4D90" w:rsidRDefault="00FD4D90" w:rsidP="00FD4D90">
      <w:pPr>
        <w:pStyle w:val="ListParagraph"/>
        <w:numPr>
          <w:ilvl w:val="1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Exposed to bodily fluids from a person with HIV/reasonably suspected to have HIV</w:t>
      </w:r>
    </w:p>
    <w:p w14:paraId="66375EB2" w14:textId="33F263D8" w:rsidR="0036603B" w:rsidRPr="00FD4D90" w:rsidRDefault="00B40C87" w:rsidP="005518A7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Age 13 years and older</w:t>
      </w:r>
    </w:p>
    <w:p w14:paraId="3CC8E0B0" w14:textId="0523C976" w:rsidR="002C49D0" w:rsidRPr="00FD4D90" w:rsidRDefault="002C49D0" w:rsidP="005518A7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 xml:space="preserve">Weight &gt;77 </w:t>
      </w:r>
      <w:proofErr w:type="spellStart"/>
      <w:r w:rsidRPr="00FD4D90">
        <w:rPr>
          <w:rFonts w:ascii="Rockwell" w:hAnsi="Rockwell" w:cstheme="minorHAnsi"/>
        </w:rPr>
        <w:t>lbs</w:t>
      </w:r>
      <w:proofErr w:type="spellEnd"/>
    </w:p>
    <w:p w14:paraId="709371C7" w14:textId="45BAA89B" w:rsidR="00850B42" w:rsidRPr="00FD4D90" w:rsidRDefault="00850B42" w:rsidP="005518A7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Not pregnant</w:t>
      </w:r>
      <w:r w:rsidR="000718AB" w:rsidRPr="00FD4D90">
        <w:rPr>
          <w:rFonts w:ascii="Rockwell" w:hAnsi="Rockwell" w:cstheme="minorHAnsi"/>
        </w:rPr>
        <w:t>/breastfeeding</w:t>
      </w:r>
    </w:p>
    <w:p w14:paraId="30560FD3" w14:textId="2A73BDC5" w:rsidR="000718AB" w:rsidRPr="00FD4D90" w:rsidRDefault="00DB1C6B" w:rsidP="000718AB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 xml:space="preserve">Are not currently taking HIV </w:t>
      </w:r>
      <w:proofErr w:type="spellStart"/>
      <w:r w:rsidRPr="00FD4D90">
        <w:rPr>
          <w:rFonts w:ascii="Rockwell" w:hAnsi="Rockwell" w:cstheme="minorHAnsi"/>
        </w:rPr>
        <w:t>P</w:t>
      </w:r>
      <w:r w:rsidR="00316095" w:rsidRPr="00FD4D90">
        <w:rPr>
          <w:rFonts w:ascii="Rockwell" w:hAnsi="Rockwell" w:cstheme="minorHAnsi"/>
        </w:rPr>
        <w:t>rEP</w:t>
      </w:r>
      <w:proofErr w:type="spellEnd"/>
      <w:r w:rsidR="00316095" w:rsidRPr="00FD4D90">
        <w:rPr>
          <w:rFonts w:ascii="Rockwell" w:hAnsi="Rockwell" w:cstheme="minorHAnsi"/>
        </w:rPr>
        <w:t xml:space="preserve"> therapy</w:t>
      </w:r>
    </w:p>
    <w:p w14:paraId="461468E9" w14:textId="43CD6CB0" w:rsidR="00F20A37" w:rsidRPr="00FD4D90" w:rsidRDefault="005B0B2D" w:rsidP="005518A7">
      <w:pPr>
        <w:pStyle w:val="ListParagraph"/>
        <w:numPr>
          <w:ilvl w:val="0"/>
          <w:numId w:val="15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 xml:space="preserve">Without </w:t>
      </w:r>
      <w:r w:rsidR="0028656E" w:rsidRPr="00FD4D90">
        <w:rPr>
          <w:rFonts w:ascii="Rockwell" w:hAnsi="Rockwell" w:cstheme="minorHAnsi"/>
        </w:rPr>
        <w:t xml:space="preserve">known </w:t>
      </w:r>
      <w:r w:rsidRPr="00FD4D90">
        <w:rPr>
          <w:rFonts w:ascii="Rockwell" w:hAnsi="Rockwell" w:cstheme="minorHAnsi"/>
        </w:rPr>
        <w:t xml:space="preserve">current acute/chronic kidney disease and/or decreased kidney function </w:t>
      </w:r>
    </w:p>
    <w:p w14:paraId="50687F68" w14:textId="3205A304" w:rsidR="002F164D" w:rsidRPr="00FD4D90" w:rsidRDefault="00FD4D90" w:rsidP="00FD4D90">
      <w:pPr>
        <w:spacing w:after="0" w:line="240" w:lineRule="auto"/>
        <w:rPr>
          <w:rFonts w:ascii="Rockwell" w:hAnsi="Rockwell" w:cstheme="minorHAnsi"/>
          <w:i/>
          <w:iCs/>
        </w:rPr>
      </w:pPr>
      <w:r w:rsidRPr="00FD4D90">
        <w:rPr>
          <w:rFonts w:ascii="Rockwell" w:hAnsi="Rockwell" w:cstheme="minorHAnsi"/>
          <w:i/>
          <w:iCs/>
        </w:rPr>
        <w:t>The pharmacy will refer those not meeting the above criteria for further medical evaluation.</w:t>
      </w:r>
    </w:p>
    <w:p w14:paraId="272FA4B1" w14:textId="77777777" w:rsidR="00FD4D90" w:rsidRPr="00FD4D90" w:rsidRDefault="00FD4D90" w:rsidP="00244061">
      <w:pPr>
        <w:spacing w:after="0" w:line="240" w:lineRule="auto"/>
        <w:rPr>
          <w:rFonts w:ascii="Rockwell" w:hAnsi="Rockwell" w:cstheme="minorHAnsi"/>
          <w:b/>
          <w:bCs/>
        </w:rPr>
      </w:pPr>
    </w:p>
    <w:p w14:paraId="00C8BA86" w14:textId="65F94742" w:rsidR="00547514" w:rsidRPr="00FD4D90" w:rsidRDefault="00A5601A" w:rsidP="00244061">
      <w:pPr>
        <w:spacing w:after="0" w:line="240" w:lineRule="auto"/>
        <w:rPr>
          <w:rFonts w:ascii="Rockwell" w:hAnsi="Rockwell" w:cstheme="minorHAnsi"/>
          <w:b/>
          <w:bCs/>
        </w:rPr>
      </w:pPr>
      <w:r w:rsidRPr="00FD4D90">
        <w:rPr>
          <w:rFonts w:ascii="Rockwell" w:hAnsi="Rockwell" w:cstheme="minorHAnsi"/>
          <w:b/>
          <w:bCs/>
        </w:rPr>
        <w:t>TESTING CRITERIA</w:t>
      </w:r>
    </w:p>
    <w:p w14:paraId="39C16AB0" w14:textId="3ACF83A4" w:rsidR="00564916" w:rsidRPr="00FD4D90" w:rsidRDefault="00D268CA" w:rsidP="00244061">
      <w:pPr>
        <w:pStyle w:val="ListParagraph"/>
        <w:numPr>
          <w:ilvl w:val="0"/>
          <w:numId w:val="16"/>
        </w:num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 xml:space="preserve">Anyone </w:t>
      </w:r>
      <w:r w:rsidR="00EB44B0" w:rsidRPr="00FD4D90">
        <w:rPr>
          <w:rFonts w:ascii="Rockwell" w:hAnsi="Rockwell" w:cstheme="minorHAnsi"/>
        </w:rPr>
        <w:t xml:space="preserve">eligible for HIV PEP should be tested with a CLIA-Waived HIV </w:t>
      </w:r>
      <w:r w:rsidR="00F15FEA" w:rsidRPr="00FD4D90">
        <w:rPr>
          <w:rFonts w:ascii="Rockwell" w:hAnsi="Rockwell" w:cstheme="minorHAnsi"/>
        </w:rPr>
        <w:t>Test</w:t>
      </w:r>
    </w:p>
    <w:p w14:paraId="4B0955CE" w14:textId="45F9ED0A" w:rsidR="005D203A" w:rsidRPr="00FD4D90" w:rsidRDefault="00F15FEA" w:rsidP="00FD4D90">
      <w:pPr>
        <w:pStyle w:val="ListParagraph"/>
        <w:numPr>
          <w:ilvl w:val="0"/>
          <w:numId w:val="16"/>
        </w:numPr>
        <w:spacing w:line="240" w:lineRule="auto"/>
        <w:rPr>
          <w:rFonts w:ascii="Rockwell" w:hAnsi="Rockwell" w:cstheme="minorHAnsi"/>
          <w:b/>
          <w:bCs/>
        </w:rPr>
      </w:pPr>
      <w:r w:rsidRPr="00FD4D90">
        <w:rPr>
          <w:rFonts w:ascii="Rockwell" w:hAnsi="Rockwell" w:cstheme="minorHAnsi"/>
        </w:rPr>
        <w:t xml:space="preserve">If a patient refuses the test and meets eligibility criteria, prescribing can still occur </w:t>
      </w:r>
    </w:p>
    <w:p w14:paraId="08CAEFDC" w14:textId="54148026" w:rsidR="005D203A" w:rsidRPr="00FD4D90" w:rsidRDefault="00A5601A" w:rsidP="005D203A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b/>
          <w:bCs/>
        </w:rPr>
        <w:t>PRESCRIBING</w:t>
      </w:r>
      <w:r w:rsidR="005D203A" w:rsidRPr="00FD4D90">
        <w:rPr>
          <w:rFonts w:ascii="Rockwell" w:hAnsi="Rockwell" w:cstheme="minorHAnsi"/>
          <w:b/>
          <w:bCs/>
        </w:rPr>
        <w:t xml:space="preserve"> </w:t>
      </w:r>
    </w:p>
    <w:p w14:paraId="2CC2B95D" w14:textId="63FE5A6D" w:rsidR="005D203A" w:rsidRPr="00FD4D90" w:rsidRDefault="00A5601A" w:rsidP="00F05EA1">
      <w:pPr>
        <w:spacing w:after="0" w:line="240" w:lineRule="auto"/>
        <w:rPr>
          <w:rFonts w:ascii="Rockwell" w:eastAsia="Times New Roman" w:hAnsi="Rockwell" w:cstheme="minorHAnsi"/>
        </w:rPr>
      </w:pPr>
      <w:r w:rsidRPr="00FD4D90">
        <w:rPr>
          <w:rFonts w:ascii="Rockwell" w:eastAsia="Times New Roman" w:hAnsi="Rockwell" w:cstheme="minorHAnsi"/>
        </w:rPr>
        <w:t xml:space="preserve">Upon a </w:t>
      </w:r>
      <w:r w:rsidR="00296A9A" w:rsidRPr="00FD4D90">
        <w:rPr>
          <w:rFonts w:ascii="Rockwell" w:eastAsia="Times New Roman" w:hAnsi="Rockwell" w:cstheme="minorHAnsi"/>
        </w:rPr>
        <w:t>negative HIV</w:t>
      </w:r>
      <w:r w:rsidR="007C0999" w:rsidRPr="00FD4D90">
        <w:rPr>
          <w:rFonts w:ascii="Rockwell" w:eastAsia="Times New Roman" w:hAnsi="Rockwell" w:cstheme="minorHAnsi"/>
        </w:rPr>
        <w:t xml:space="preserve"> </w:t>
      </w:r>
      <w:r w:rsidR="007468A4" w:rsidRPr="00FD4D90">
        <w:rPr>
          <w:rFonts w:ascii="Rockwell" w:eastAsia="Times New Roman" w:hAnsi="Rockwell" w:cstheme="minorHAnsi"/>
        </w:rPr>
        <w:t>rapid test</w:t>
      </w:r>
      <w:r w:rsidR="003A5E16" w:rsidRPr="00FD4D90">
        <w:rPr>
          <w:rFonts w:ascii="Rockwell" w:eastAsia="Times New Roman" w:hAnsi="Rockwell" w:cstheme="minorHAnsi"/>
        </w:rPr>
        <w:t>, the pharmacist</w:t>
      </w:r>
      <w:r w:rsidR="000F302D" w:rsidRPr="00FD4D90">
        <w:rPr>
          <w:rFonts w:ascii="Rockwell" w:eastAsia="Times New Roman" w:hAnsi="Rockwell" w:cstheme="minorHAnsi"/>
        </w:rPr>
        <w:t xml:space="preserve"> shall identify any precautions or contraindications to therapy and then prescribe the</w:t>
      </w:r>
      <w:r w:rsidR="00643854" w:rsidRPr="00FD4D90">
        <w:rPr>
          <w:rFonts w:ascii="Rockwell" w:eastAsia="Times New Roman" w:hAnsi="Rockwell" w:cstheme="minorHAnsi"/>
        </w:rPr>
        <w:t xml:space="preserve"> </w:t>
      </w:r>
      <w:r w:rsidR="003A5E16" w:rsidRPr="00FD4D90">
        <w:rPr>
          <w:rFonts w:ascii="Rockwell" w:eastAsia="Times New Roman" w:hAnsi="Rockwell" w:cstheme="minorHAnsi"/>
        </w:rPr>
        <w:t>most a</w:t>
      </w:r>
      <w:r w:rsidR="00626245" w:rsidRPr="00FD4D90">
        <w:rPr>
          <w:rFonts w:ascii="Rockwell" w:eastAsia="Times New Roman" w:hAnsi="Rockwell" w:cstheme="minorHAnsi"/>
        </w:rPr>
        <w:t>ppropriate</w:t>
      </w:r>
      <w:r w:rsidR="003A5E16" w:rsidRPr="00FD4D90">
        <w:rPr>
          <w:rFonts w:ascii="Rockwell" w:eastAsia="Times New Roman" w:hAnsi="Rockwell" w:cstheme="minorHAnsi"/>
        </w:rPr>
        <w:t xml:space="preserve"> treatment: </w:t>
      </w:r>
    </w:p>
    <w:p w14:paraId="7A13AC2E" w14:textId="77777777" w:rsidR="00F05EA1" w:rsidRPr="00FD4D90" w:rsidRDefault="00F05EA1" w:rsidP="00F05EA1">
      <w:pPr>
        <w:spacing w:after="0" w:line="240" w:lineRule="auto"/>
        <w:rPr>
          <w:rFonts w:ascii="Rockwell" w:eastAsia="Times New Roman" w:hAnsi="Rockwell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65"/>
        <w:gridCol w:w="2250"/>
        <w:gridCol w:w="2070"/>
        <w:gridCol w:w="2605"/>
      </w:tblGrid>
      <w:tr w:rsidR="00F114CB" w:rsidRPr="00FD4D90" w14:paraId="61212D04" w14:textId="7F06DC4F" w:rsidTr="00E320F2">
        <w:tc>
          <w:tcPr>
            <w:tcW w:w="10790" w:type="dxa"/>
            <w:gridSpan w:val="4"/>
            <w:shd w:val="clear" w:color="auto" w:fill="D9D9D9" w:themeFill="background1" w:themeFillShade="D9"/>
          </w:tcPr>
          <w:p w14:paraId="453EC466" w14:textId="0FC2B0AF" w:rsidR="00F114CB" w:rsidRPr="00FD4D90" w:rsidRDefault="00F114CB" w:rsidP="00ED30D7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TREATMENT</w:t>
            </w:r>
          </w:p>
        </w:tc>
      </w:tr>
      <w:tr w:rsidR="000466A0" w:rsidRPr="00FD4D90" w14:paraId="32A5BD90" w14:textId="614D300E" w:rsidTr="00FD4D90">
        <w:tc>
          <w:tcPr>
            <w:tcW w:w="3865" w:type="dxa"/>
          </w:tcPr>
          <w:p w14:paraId="11A4F253" w14:textId="157162B2" w:rsidR="000466A0" w:rsidRPr="00FD4D90" w:rsidRDefault="000466A0" w:rsidP="005849C9">
            <w:pPr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MEDICATION</w:t>
            </w:r>
          </w:p>
        </w:tc>
        <w:tc>
          <w:tcPr>
            <w:tcW w:w="2250" w:type="dxa"/>
          </w:tcPr>
          <w:p w14:paraId="7FF10815" w14:textId="200776E5" w:rsidR="000466A0" w:rsidRPr="00FD4D90" w:rsidRDefault="00F114CB" w:rsidP="005849C9">
            <w:pPr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Frequency</w:t>
            </w:r>
          </w:p>
        </w:tc>
        <w:tc>
          <w:tcPr>
            <w:tcW w:w="2070" w:type="dxa"/>
          </w:tcPr>
          <w:p w14:paraId="5CD0003B" w14:textId="10AF4D6D" w:rsidR="000466A0" w:rsidRPr="00FD4D90" w:rsidRDefault="000466A0" w:rsidP="005849C9">
            <w:pPr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 xml:space="preserve">Duration </w:t>
            </w:r>
          </w:p>
        </w:tc>
        <w:tc>
          <w:tcPr>
            <w:tcW w:w="2605" w:type="dxa"/>
          </w:tcPr>
          <w:p w14:paraId="693981DE" w14:textId="3BAEB424" w:rsidR="000466A0" w:rsidRPr="00FD4D90" w:rsidRDefault="000466A0" w:rsidP="000466A0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>Notes</w:t>
            </w:r>
          </w:p>
        </w:tc>
      </w:tr>
      <w:tr w:rsidR="000466A0" w:rsidRPr="00FD4D90" w14:paraId="78C1E376" w14:textId="3109B5F9" w:rsidTr="00FD4D90">
        <w:tc>
          <w:tcPr>
            <w:tcW w:w="3865" w:type="dxa"/>
          </w:tcPr>
          <w:p w14:paraId="1942CED2" w14:textId="77777777" w:rsidR="00C55B11" w:rsidRPr="00FD4D90" w:rsidRDefault="000466A0" w:rsidP="00DC335B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emtricitabine 200</w:t>
            </w:r>
            <w:r w:rsidR="00C55B11" w:rsidRPr="00FD4D90">
              <w:rPr>
                <w:rFonts w:ascii="Rockwell" w:hAnsi="Rockwell" w:cstheme="minorHAnsi"/>
              </w:rPr>
              <w:t xml:space="preserve"> </w:t>
            </w:r>
            <w:r w:rsidRPr="00FD4D90">
              <w:rPr>
                <w:rFonts w:ascii="Rockwell" w:hAnsi="Rockwell" w:cstheme="minorHAnsi"/>
              </w:rPr>
              <w:t>mg/</w:t>
            </w:r>
          </w:p>
          <w:p w14:paraId="7B012A48" w14:textId="251106E9" w:rsidR="000466A0" w:rsidRPr="00FD4D90" w:rsidRDefault="000466A0" w:rsidP="00DC335B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tenofovir</w:t>
            </w:r>
            <w:r w:rsidR="00C55B11" w:rsidRPr="00FD4D90">
              <w:rPr>
                <w:rFonts w:ascii="Rockwell" w:hAnsi="Rockwell" w:cstheme="minorHAnsi"/>
              </w:rPr>
              <w:t xml:space="preserve"> </w:t>
            </w:r>
            <w:r w:rsidRPr="00FD4D90">
              <w:rPr>
                <w:rFonts w:ascii="Rockwell" w:hAnsi="Rockwell" w:cstheme="minorHAnsi"/>
              </w:rPr>
              <w:t>disoproxil</w:t>
            </w:r>
            <w:r w:rsidR="00C55B11" w:rsidRPr="00FD4D90">
              <w:rPr>
                <w:rFonts w:ascii="Rockwell" w:hAnsi="Rockwell" w:cstheme="minorHAnsi"/>
              </w:rPr>
              <w:t xml:space="preserve"> </w:t>
            </w:r>
            <w:r w:rsidRPr="00FD4D90">
              <w:rPr>
                <w:rFonts w:ascii="Rockwell" w:hAnsi="Rockwell" w:cstheme="minorHAnsi"/>
              </w:rPr>
              <w:t>fumarate 300mg</w:t>
            </w:r>
          </w:p>
          <w:p w14:paraId="6E898193" w14:textId="2A5131F9" w:rsidR="000466A0" w:rsidRPr="00FD4D90" w:rsidRDefault="000466A0" w:rsidP="00DC335B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(Truvada® or</w:t>
            </w:r>
            <w:r w:rsidR="00C55B11" w:rsidRPr="00FD4D90">
              <w:rPr>
                <w:rFonts w:ascii="Rockwell" w:hAnsi="Rockwell" w:cstheme="minorHAnsi"/>
              </w:rPr>
              <w:t xml:space="preserve"> </w:t>
            </w:r>
            <w:r w:rsidRPr="00FD4D90">
              <w:rPr>
                <w:rFonts w:ascii="Rockwell" w:hAnsi="Rockwell" w:cstheme="minorHAnsi"/>
              </w:rPr>
              <w:t>generic)</w:t>
            </w:r>
          </w:p>
          <w:p w14:paraId="50C8CD6A" w14:textId="5841827E" w:rsidR="000466A0" w:rsidRPr="00FD4D90" w:rsidRDefault="000466A0" w:rsidP="00DC335B">
            <w:pPr>
              <w:rPr>
                <w:rFonts w:ascii="Rockwell" w:hAnsi="Rockwell" w:cstheme="minorHAnsi"/>
              </w:rPr>
            </w:pPr>
          </w:p>
        </w:tc>
        <w:tc>
          <w:tcPr>
            <w:tcW w:w="2250" w:type="dxa"/>
          </w:tcPr>
          <w:p w14:paraId="5B65871F" w14:textId="364EA83F" w:rsidR="000466A0" w:rsidRPr="00FD4D90" w:rsidRDefault="000466A0" w:rsidP="00CF6605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Once daily</w:t>
            </w:r>
          </w:p>
        </w:tc>
        <w:tc>
          <w:tcPr>
            <w:tcW w:w="2070" w:type="dxa"/>
          </w:tcPr>
          <w:p w14:paraId="60FD841B" w14:textId="257978FA" w:rsidR="000466A0" w:rsidRPr="00FD4D90" w:rsidRDefault="000466A0" w:rsidP="00CF6605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 xml:space="preserve">28 Days </w:t>
            </w:r>
          </w:p>
        </w:tc>
        <w:tc>
          <w:tcPr>
            <w:tcW w:w="2605" w:type="dxa"/>
          </w:tcPr>
          <w:p w14:paraId="3B59C145" w14:textId="77777777" w:rsidR="00B6776C" w:rsidRPr="00FD4D90" w:rsidRDefault="00B6776C" w:rsidP="00B6776C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Dosing adjustments</w:t>
            </w:r>
          </w:p>
          <w:p w14:paraId="7D584583" w14:textId="5968F5FF" w:rsidR="00B6776C" w:rsidRPr="00FD4D90" w:rsidRDefault="00843064" w:rsidP="00B6776C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r</w:t>
            </w:r>
            <w:r w:rsidR="00844A3E" w:rsidRPr="00FD4D90">
              <w:rPr>
                <w:rFonts w:ascii="Rockwell" w:hAnsi="Rockwell" w:cstheme="minorHAnsi"/>
              </w:rPr>
              <w:t>equired with</w:t>
            </w:r>
            <w:r w:rsidR="00B6776C" w:rsidRPr="00FD4D90">
              <w:rPr>
                <w:rFonts w:ascii="Rockwell" w:hAnsi="Rockwell" w:cstheme="minorHAnsi"/>
              </w:rPr>
              <w:t xml:space="preserve"> renal</w:t>
            </w:r>
          </w:p>
          <w:p w14:paraId="3E6F9D70" w14:textId="77777777" w:rsidR="00B6776C" w:rsidRPr="00FD4D90" w:rsidRDefault="00B6776C" w:rsidP="00B6776C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dysfunction if CrCL</w:t>
            </w:r>
          </w:p>
          <w:p w14:paraId="5C96E094" w14:textId="5AF7AC6D" w:rsidR="000466A0" w:rsidRPr="00FD4D90" w:rsidRDefault="00B6776C" w:rsidP="00B6776C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&lt;60 ml/min.</w:t>
            </w:r>
          </w:p>
        </w:tc>
      </w:tr>
      <w:tr w:rsidR="00F114CB" w:rsidRPr="00FD4D90" w14:paraId="63C57358" w14:textId="34F66717" w:rsidTr="009E257E">
        <w:tc>
          <w:tcPr>
            <w:tcW w:w="10790" w:type="dxa"/>
            <w:gridSpan w:val="4"/>
            <w:shd w:val="clear" w:color="auto" w:fill="D9D9D9" w:themeFill="background1" w:themeFillShade="D9"/>
          </w:tcPr>
          <w:p w14:paraId="6BDDADFA" w14:textId="5E263DC2" w:rsidR="00F114CB" w:rsidRPr="00FD4D90" w:rsidRDefault="00F114CB" w:rsidP="00B2289D">
            <w:pPr>
              <w:jc w:val="center"/>
              <w:rPr>
                <w:rFonts w:ascii="Rockwell" w:hAnsi="Rockwell" w:cstheme="minorHAnsi"/>
                <w:b/>
                <w:bCs/>
                <w:u w:val="single"/>
              </w:rPr>
            </w:pPr>
            <w:r w:rsidRPr="00FD4D90">
              <w:rPr>
                <w:rFonts w:ascii="Rockwell" w:hAnsi="Rockwell" w:cstheme="minorHAnsi"/>
                <w:b/>
                <w:bCs/>
                <w:u w:val="single"/>
              </w:rPr>
              <w:t xml:space="preserve">  PLUS</w:t>
            </w:r>
          </w:p>
        </w:tc>
      </w:tr>
      <w:tr w:rsidR="000466A0" w:rsidRPr="00FD4D90" w14:paraId="3243AD01" w14:textId="692F3681" w:rsidTr="00FD4D90">
        <w:tc>
          <w:tcPr>
            <w:tcW w:w="3865" w:type="dxa"/>
          </w:tcPr>
          <w:p w14:paraId="15F2FAFB" w14:textId="77777777" w:rsidR="000466A0" w:rsidRPr="00FD4D90" w:rsidRDefault="000466A0" w:rsidP="00110DA4">
            <w:pPr>
              <w:rPr>
                <w:rFonts w:ascii="Rockwell" w:hAnsi="Rockwell" w:cstheme="minorHAnsi"/>
              </w:rPr>
            </w:pPr>
            <w:proofErr w:type="spellStart"/>
            <w:r w:rsidRPr="00FD4D90">
              <w:rPr>
                <w:rFonts w:ascii="Rockwell" w:hAnsi="Rockwell" w:cstheme="minorHAnsi"/>
              </w:rPr>
              <w:t>raltegravir</w:t>
            </w:r>
            <w:proofErr w:type="spellEnd"/>
            <w:r w:rsidRPr="00FD4D90">
              <w:rPr>
                <w:rFonts w:ascii="Rockwell" w:hAnsi="Rockwell" w:cstheme="minorHAnsi"/>
              </w:rPr>
              <w:t xml:space="preserve"> 400mg</w:t>
            </w:r>
          </w:p>
          <w:p w14:paraId="63EE4D03" w14:textId="30AD1DF4" w:rsidR="000466A0" w:rsidRPr="00FD4D90" w:rsidRDefault="000466A0" w:rsidP="00110DA4">
            <w:pPr>
              <w:rPr>
                <w:rFonts w:ascii="Rockwell" w:hAnsi="Rockwell" w:cstheme="minorHAnsi"/>
              </w:rPr>
            </w:pPr>
          </w:p>
        </w:tc>
        <w:tc>
          <w:tcPr>
            <w:tcW w:w="2250" w:type="dxa"/>
          </w:tcPr>
          <w:p w14:paraId="480D5A4F" w14:textId="6EC79181" w:rsidR="000466A0" w:rsidRPr="00FD4D90" w:rsidRDefault="00844A3E" w:rsidP="00654D46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Twice daily</w:t>
            </w:r>
          </w:p>
        </w:tc>
        <w:tc>
          <w:tcPr>
            <w:tcW w:w="2070" w:type="dxa"/>
          </w:tcPr>
          <w:p w14:paraId="434E69F5" w14:textId="1B1EE19F" w:rsidR="000466A0" w:rsidRPr="00FD4D90" w:rsidRDefault="00844A3E" w:rsidP="00654D46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28 Days</w:t>
            </w:r>
          </w:p>
        </w:tc>
        <w:tc>
          <w:tcPr>
            <w:tcW w:w="2605" w:type="dxa"/>
          </w:tcPr>
          <w:p w14:paraId="534AEC05" w14:textId="77777777" w:rsidR="000466A0" w:rsidRPr="00FD4D90" w:rsidRDefault="000466A0" w:rsidP="00654D46">
            <w:pPr>
              <w:rPr>
                <w:rFonts w:ascii="Rockwell" w:hAnsi="Rockwell" w:cstheme="minorHAnsi"/>
              </w:rPr>
            </w:pPr>
          </w:p>
        </w:tc>
      </w:tr>
      <w:tr w:rsidR="000466A0" w:rsidRPr="00FD4D90" w14:paraId="75CC514C" w14:textId="7186CFF2" w:rsidTr="00FD4D90">
        <w:tc>
          <w:tcPr>
            <w:tcW w:w="3865" w:type="dxa"/>
          </w:tcPr>
          <w:p w14:paraId="551834EE" w14:textId="486F3022" w:rsidR="000466A0" w:rsidRPr="00FD4D90" w:rsidRDefault="000466A0" w:rsidP="00CF6605">
            <w:pPr>
              <w:rPr>
                <w:rFonts w:ascii="Rockwell" w:hAnsi="Rockwell" w:cstheme="minorHAnsi"/>
              </w:rPr>
            </w:pPr>
          </w:p>
        </w:tc>
        <w:tc>
          <w:tcPr>
            <w:tcW w:w="2250" w:type="dxa"/>
          </w:tcPr>
          <w:p w14:paraId="711AE0D7" w14:textId="77777777" w:rsidR="000466A0" w:rsidRPr="00FD4D90" w:rsidRDefault="000466A0" w:rsidP="001D6E71">
            <w:pPr>
              <w:jc w:val="center"/>
              <w:rPr>
                <w:rFonts w:ascii="Rockwell" w:hAnsi="Rockwell" w:cstheme="minorHAnsi"/>
                <w:b/>
                <w:bCs/>
              </w:rPr>
            </w:pPr>
            <w:r w:rsidRPr="00FD4D90">
              <w:rPr>
                <w:rFonts w:ascii="Rockwell" w:hAnsi="Rockwell" w:cstheme="minorHAnsi"/>
                <w:b/>
                <w:bCs/>
              </w:rPr>
              <w:t>OR</w:t>
            </w:r>
          </w:p>
          <w:p w14:paraId="1CB36BC0" w14:textId="73CBEB9D" w:rsidR="000466A0" w:rsidRPr="00FD4D90" w:rsidRDefault="000466A0" w:rsidP="00CF6605">
            <w:pPr>
              <w:rPr>
                <w:rFonts w:ascii="Rockwell" w:hAnsi="Rockwell" w:cstheme="minorHAnsi"/>
              </w:rPr>
            </w:pPr>
          </w:p>
        </w:tc>
        <w:tc>
          <w:tcPr>
            <w:tcW w:w="2070" w:type="dxa"/>
          </w:tcPr>
          <w:p w14:paraId="2A395DB2" w14:textId="2AB22A6E" w:rsidR="000466A0" w:rsidRPr="00FD4D90" w:rsidRDefault="000466A0" w:rsidP="00CF6605">
            <w:pPr>
              <w:rPr>
                <w:rFonts w:ascii="Rockwell" w:hAnsi="Rockwell" w:cstheme="minorHAnsi"/>
              </w:rPr>
            </w:pPr>
          </w:p>
        </w:tc>
        <w:tc>
          <w:tcPr>
            <w:tcW w:w="2605" w:type="dxa"/>
          </w:tcPr>
          <w:p w14:paraId="5BE461C3" w14:textId="77777777" w:rsidR="000466A0" w:rsidRPr="00FD4D90" w:rsidRDefault="000466A0" w:rsidP="00CF6605">
            <w:pPr>
              <w:rPr>
                <w:rFonts w:ascii="Rockwell" w:hAnsi="Rockwell" w:cstheme="minorHAnsi"/>
              </w:rPr>
            </w:pPr>
          </w:p>
        </w:tc>
      </w:tr>
      <w:tr w:rsidR="000466A0" w:rsidRPr="00FD4D90" w14:paraId="445F22A7" w14:textId="6504892D" w:rsidTr="00FD4D90">
        <w:tc>
          <w:tcPr>
            <w:tcW w:w="3865" w:type="dxa"/>
          </w:tcPr>
          <w:p w14:paraId="3A57D66F" w14:textId="7BFDFD86" w:rsidR="000466A0" w:rsidRPr="00FD4D90" w:rsidRDefault="000466A0" w:rsidP="00CF6605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Dolutegravir 50mg</w:t>
            </w:r>
          </w:p>
        </w:tc>
        <w:tc>
          <w:tcPr>
            <w:tcW w:w="2250" w:type="dxa"/>
          </w:tcPr>
          <w:p w14:paraId="56CA23AF" w14:textId="1CFB3546" w:rsidR="000466A0" w:rsidRPr="00FD4D90" w:rsidRDefault="00844A3E" w:rsidP="00CF6605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Once daily</w:t>
            </w:r>
          </w:p>
        </w:tc>
        <w:tc>
          <w:tcPr>
            <w:tcW w:w="2070" w:type="dxa"/>
          </w:tcPr>
          <w:p w14:paraId="23C7D5BB" w14:textId="3D203FF8" w:rsidR="000466A0" w:rsidRPr="00FD4D90" w:rsidRDefault="00844A3E" w:rsidP="00CF6605">
            <w:pPr>
              <w:rPr>
                <w:rFonts w:ascii="Rockwell" w:hAnsi="Rockwell" w:cstheme="minorHAnsi"/>
              </w:rPr>
            </w:pPr>
            <w:r w:rsidRPr="00FD4D90">
              <w:rPr>
                <w:rFonts w:ascii="Rockwell" w:hAnsi="Rockwell" w:cstheme="minorHAnsi"/>
              </w:rPr>
              <w:t>28 Days</w:t>
            </w:r>
          </w:p>
        </w:tc>
        <w:tc>
          <w:tcPr>
            <w:tcW w:w="2605" w:type="dxa"/>
          </w:tcPr>
          <w:p w14:paraId="7A0F7C6E" w14:textId="77777777" w:rsidR="000466A0" w:rsidRPr="00FD4D90" w:rsidRDefault="000466A0" w:rsidP="00CF6605">
            <w:pPr>
              <w:rPr>
                <w:rFonts w:ascii="Rockwell" w:hAnsi="Rockwell" w:cstheme="minorHAnsi"/>
              </w:rPr>
            </w:pPr>
          </w:p>
        </w:tc>
      </w:tr>
    </w:tbl>
    <w:p w14:paraId="0D50F781" w14:textId="77777777" w:rsidR="005D203A" w:rsidRPr="00FD4D90" w:rsidRDefault="005D203A" w:rsidP="005D203A">
      <w:pPr>
        <w:spacing w:after="0" w:line="240" w:lineRule="auto"/>
        <w:rPr>
          <w:rFonts w:ascii="Rockwell" w:hAnsi="Rockwell" w:cstheme="minorHAnsi"/>
        </w:rPr>
      </w:pPr>
    </w:p>
    <w:p w14:paraId="0E5BFB33" w14:textId="28A38FA4" w:rsidR="00402C09" w:rsidRPr="00FD4D90" w:rsidRDefault="009C3EE7" w:rsidP="005D203A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b/>
          <w:bCs/>
        </w:rPr>
        <w:t>FOLLOW-UP</w:t>
      </w:r>
    </w:p>
    <w:p w14:paraId="61D4BA92" w14:textId="33213681" w:rsidR="00D56E73" w:rsidRPr="00FD4D90" w:rsidRDefault="00E77C59" w:rsidP="00BC647C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If the patient tests positive for HIV upon provision of a CLIA-Waived test, the patient will</w:t>
      </w:r>
      <w:r w:rsidR="007E08FF" w:rsidRPr="00FD4D90">
        <w:rPr>
          <w:rFonts w:ascii="Rockwell" w:hAnsi="Rockwell" w:cstheme="minorHAnsi"/>
        </w:rPr>
        <w:t xml:space="preserve"> be</w:t>
      </w:r>
      <w:r w:rsidRPr="00FD4D90">
        <w:rPr>
          <w:rFonts w:ascii="Rockwell" w:hAnsi="Rockwell" w:cstheme="minorHAnsi"/>
        </w:rPr>
        <w:t xml:space="preserve"> immediately referred to </w:t>
      </w:r>
      <w:r w:rsidR="00FD4D90">
        <w:rPr>
          <w:rFonts w:ascii="Rockwell" w:hAnsi="Rockwell" w:cstheme="minorHAnsi"/>
        </w:rPr>
        <w:t>further medical evaluation</w:t>
      </w:r>
      <w:r w:rsidRPr="00FD4D90">
        <w:rPr>
          <w:rFonts w:ascii="Rockwell" w:hAnsi="Rockwell" w:cstheme="minorHAnsi"/>
        </w:rPr>
        <w:t xml:space="preserve">. </w:t>
      </w:r>
      <w:r w:rsidR="00FD4D90">
        <w:rPr>
          <w:rFonts w:ascii="Rockwell" w:hAnsi="Rockwell" w:cstheme="minorHAnsi"/>
        </w:rPr>
        <w:t xml:space="preserve"> </w:t>
      </w:r>
      <w:r w:rsidR="00CA3352" w:rsidRPr="00FD4D90">
        <w:rPr>
          <w:rFonts w:ascii="Rockwell" w:hAnsi="Rockwell" w:cstheme="minorHAnsi"/>
        </w:rPr>
        <w:t>Patients prescribed PEP</w:t>
      </w:r>
      <w:r w:rsidR="009618DC" w:rsidRPr="00FD4D90">
        <w:rPr>
          <w:rFonts w:ascii="Rockwell" w:hAnsi="Rockwell" w:cstheme="minorHAnsi"/>
        </w:rPr>
        <w:t xml:space="preserve"> should </w:t>
      </w:r>
      <w:r w:rsidR="00F27A18" w:rsidRPr="00FD4D90">
        <w:rPr>
          <w:rFonts w:ascii="Rockwell" w:hAnsi="Rockwell" w:cstheme="minorHAnsi"/>
        </w:rPr>
        <w:t xml:space="preserve">be </w:t>
      </w:r>
      <w:r w:rsidR="003834BA" w:rsidRPr="00FD4D90">
        <w:rPr>
          <w:rFonts w:ascii="Rockwell" w:hAnsi="Rockwell" w:cstheme="minorHAnsi"/>
        </w:rPr>
        <w:t xml:space="preserve">referred for follow up with a primary care provider to obtain the following as soon as possible: </w:t>
      </w:r>
    </w:p>
    <w:p w14:paraId="376CD293" w14:textId="77777777" w:rsidR="007A33D9" w:rsidRPr="00FD4D90" w:rsidRDefault="00D56E73" w:rsidP="00BC647C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 xml:space="preserve">Serum creatinine, ALT/AST, Hepatitis B screening, </w:t>
      </w:r>
      <w:r w:rsidR="000D739A" w:rsidRPr="00FD4D90">
        <w:rPr>
          <w:rFonts w:ascii="Rockwell" w:hAnsi="Rockwell" w:cstheme="minorHAnsi"/>
        </w:rPr>
        <w:t>Hepatitis</w:t>
      </w:r>
      <w:r w:rsidRPr="00FD4D90">
        <w:rPr>
          <w:rFonts w:ascii="Rockwell" w:hAnsi="Rockwell" w:cstheme="minorHAnsi"/>
        </w:rPr>
        <w:t xml:space="preserve"> C screening</w:t>
      </w:r>
      <w:r w:rsidR="000D739A" w:rsidRPr="00FD4D90">
        <w:rPr>
          <w:rFonts w:ascii="Rockwell" w:hAnsi="Rockwell" w:cstheme="minorHAnsi"/>
        </w:rPr>
        <w:t>, pregnancy test (if applicable)</w:t>
      </w:r>
    </w:p>
    <w:p w14:paraId="2D564F48" w14:textId="4374E14B" w:rsidR="00626245" w:rsidRPr="00FD4D90" w:rsidRDefault="007A33D9" w:rsidP="00BC647C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</w:rPr>
        <w:t>The patient should be contacted within 4 to 6 weeks t</w:t>
      </w:r>
      <w:r w:rsidR="00776EA8" w:rsidRPr="00FD4D90">
        <w:rPr>
          <w:rFonts w:ascii="Rockwell" w:hAnsi="Rockwell" w:cstheme="minorHAnsi"/>
        </w:rPr>
        <w:t>o obtain a follow-up HIV screening test</w:t>
      </w:r>
      <w:r w:rsidR="00FD4D90">
        <w:rPr>
          <w:rFonts w:ascii="Rockwell" w:hAnsi="Rockwell" w:cstheme="minorHAnsi"/>
        </w:rPr>
        <w:t>.</w:t>
      </w:r>
    </w:p>
    <w:p w14:paraId="2D70D909" w14:textId="77777777" w:rsidR="004A6778" w:rsidRPr="00FD4D90" w:rsidRDefault="004A6778" w:rsidP="00BC647C">
      <w:pPr>
        <w:spacing w:after="0" w:line="240" w:lineRule="auto"/>
        <w:rPr>
          <w:rFonts w:ascii="Rockwell" w:hAnsi="Rockwell" w:cstheme="minorHAnsi"/>
        </w:rPr>
      </w:pPr>
    </w:p>
    <w:p w14:paraId="795C5503" w14:textId="4F79A639" w:rsidR="004A0AC8" w:rsidRPr="00FD4D90" w:rsidRDefault="00FD4D90" w:rsidP="00FD4D90">
      <w:pPr>
        <w:spacing w:after="0" w:line="240" w:lineRule="auto"/>
        <w:rPr>
          <w:rFonts w:ascii="Rockwell" w:hAnsi="Rockwell" w:cstheme="minorHAnsi"/>
        </w:rPr>
      </w:pPr>
      <w:r w:rsidRPr="00FD4D90">
        <w:rPr>
          <w:rFonts w:ascii="Rockwell" w:hAnsi="Rockwell" w:cstheme="minorHAnsi"/>
          <w:i/>
          <w:iCs/>
          <w:sz w:val="16"/>
          <w:szCs w:val="16"/>
        </w:rPr>
        <w:t>Tanner MR</w:t>
      </w:r>
      <w:r w:rsidRPr="00FD4D90">
        <w:rPr>
          <w:rFonts w:ascii="Rockwell" w:hAnsi="Rockwell" w:cstheme="minorHAnsi"/>
          <w:i/>
          <w:iCs/>
          <w:sz w:val="16"/>
          <w:szCs w:val="16"/>
        </w:rPr>
        <w:t xml:space="preserve"> </w:t>
      </w:r>
      <w:r w:rsidRPr="00FD4D90">
        <w:rPr>
          <w:rFonts w:ascii="Rockwell" w:hAnsi="Rockwell" w:cstheme="minorHAnsi"/>
          <w:i/>
          <w:iCs/>
          <w:sz w:val="16"/>
          <w:szCs w:val="16"/>
        </w:rPr>
        <w:t xml:space="preserve">et al. Antiretroviral Postexposure Prophylaxis After Sexual, Injection Drug Use, or Other Nonoccupational Exposure to HIV — CDC Recommendations, United States, 2025. MMWR </w:t>
      </w:r>
      <w:proofErr w:type="spellStart"/>
      <w:r w:rsidRPr="00FD4D90">
        <w:rPr>
          <w:rFonts w:ascii="Rockwell" w:hAnsi="Rockwell" w:cstheme="minorHAnsi"/>
          <w:i/>
          <w:iCs/>
          <w:sz w:val="16"/>
          <w:szCs w:val="16"/>
        </w:rPr>
        <w:t>Recomm</w:t>
      </w:r>
      <w:proofErr w:type="spellEnd"/>
      <w:r w:rsidRPr="00FD4D90">
        <w:rPr>
          <w:rFonts w:ascii="Rockwell" w:hAnsi="Rockwell" w:cstheme="minorHAnsi"/>
          <w:i/>
          <w:iCs/>
          <w:sz w:val="16"/>
          <w:szCs w:val="16"/>
        </w:rPr>
        <w:t xml:space="preserve"> Rep 2025;74(No. RR-1):1–56. </w:t>
      </w:r>
    </w:p>
    <w:sectPr w:rsidR="004A0AC8" w:rsidRPr="00FD4D90" w:rsidSect="00BB4009">
      <w:footerReference w:type="default" r:id="rId11"/>
      <w:pgSz w:w="12240" w:h="15840"/>
      <w:pgMar w:top="720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0C862" w14:textId="77777777" w:rsidR="00416B15" w:rsidRDefault="00416B15" w:rsidP="00564916">
      <w:pPr>
        <w:spacing w:after="0" w:line="240" w:lineRule="auto"/>
      </w:pPr>
      <w:r>
        <w:separator/>
      </w:r>
    </w:p>
  </w:endnote>
  <w:endnote w:type="continuationSeparator" w:id="0">
    <w:p w14:paraId="72181895" w14:textId="77777777" w:rsidR="00416B15" w:rsidRDefault="00416B15" w:rsidP="00564916">
      <w:pPr>
        <w:spacing w:after="0" w:line="240" w:lineRule="auto"/>
      </w:pPr>
      <w:r>
        <w:continuationSeparator/>
      </w:r>
    </w:p>
  </w:endnote>
  <w:endnote w:type="continuationNotice" w:id="1">
    <w:p w14:paraId="7C1B29D9" w14:textId="77777777" w:rsidR="00416B15" w:rsidRDefault="00416B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89017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3D55B6" w14:textId="6DE89C1A" w:rsidR="009C3EE7" w:rsidRDefault="009C3EE7" w:rsidP="009C3EE7">
            <w:pPr>
              <w:pStyle w:val="Footer"/>
              <w:jc w:val="right"/>
            </w:pPr>
          </w:p>
          <w:p w14:paraId="3D3B721B" w14:textId="10043449" w:rsidR="00564916" w:rsidRDefault="00FD4D90">
            <w:pPr>
              <w:pStyle w:val="Footer"/>
              <w:jc w:val="right"/>
            </w:pPr>
          </w:p>
        </w:sdtContent>
      </w:sdt>
    </w:sdtContent>
  </w:sdt>
  <w:p w14:paraId="4949BB5E" w14:textId="77777777" w:rsidR="00564916" w:rsidRDefault="00564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6DC0C" w14:textId="77777777" w:rsidR="00416B15" w:rsidRDefault="00416B15" w:rsidP="00564916">
      <w:pPr>
        <w:spacing w:after="0" w:line="240" w:lineRule="auto"/>
      </w:pPr>
      <w:r>
        <w:separator/>
      </w:r>
    </w:p>
  </w:footnote>
  <w:footnote w:type="continuationSeparator" w:id="0">
    <w:p w14:paraId="1613D104" w14:textId="77777777" w:rsidR="00416B15" w:rsidRDefault="00416B15" w:rsidP="00564916">
      <w:pPr>
        <w:spacing w:after="0" w:line="240" w:lineRule="auto"/>
      </w:pPr>
      <w:r>
        <w:continuationSeparator/>
      </w:r>
    </w:p>
  </w:footnote>
  <w:footnote w:type="continuationNotice" w:id="1">
    <w:p w14:paraId="4DE4343C" w14:textId="77777777" w:rsidR="00416B15" w:rsidRDefault="00416B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2FC"/>
    <w:multiLevelType w:val="hybridMultilevel"/>
    <w:tmpl w:val="FD38D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4D6E"/>
    <w:multiLevelType w:val="hybridMultilevel"/>
    <w:tmpl w:val="45203ED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86CED"/>
    <w:multiLevelType w:val="hybridMultilevel"/>
    <w:tmpl w:val="2236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52671"/>
    <w:multiLevelType w:val="hybridMultilevel"/>
    <w:tmpl w:val="B6266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04DAD"/>
    <w:multiLevelType w:val="hybridMultilevel"/>
    <w:tmpl w:val="56E4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31F69"/>
    <w:multiLevelType w:val="hybridMultilevel"/>
    <w:tmpl w:val="69846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351184"/>
    <w:multiLevelType w:val="hybridMultilevel"/>
    <w:tmpl w:val="5052C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06E47"/>
    <w:multiLevelType w:val="hybridMultilevel"/>
    <w:tmpl w:val="89167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03772"/>
    <w:multiLevelType w:val="hybridMultilevel"/>
    <w:tmpl w:val="78B88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8374CA"/>
    <w:multiLevelType w:val="hybridMultilevel"/>
    <w:tmpl w:val="BE8A2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415BB3"/>
    <w:multiLevelType w:val="hybridMultilevel"/>
    <w:tmpl w:val="363C0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DB3E98"/>
    <w:multiLevelType w:val="hybridMultilevel"/>
    <w:tmpl w:val="0CC2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36284"/>
    <w:multiLevelType w:val="hybridMultilevel"/>
    <w:tmpl w:val="038ED2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5FB2810"/>
    <w:multiLevelType w:val="hybridMultilevel"/>
    <w:tmpl w:val="35B60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CB3BAB"/>
    <w:multiLevelType w:val="hybridMultilevel"/>
    <w:tmpl w:val="8CC60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36FD4"/>
    <w:multiLevelType w:val="hybridMultilevel"/>
    <w:tmpl w:val="35CE8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0"/>
  </w:num>
  <w:num w:numId="10">
    <w:abstractNumId w:val="15"/>
  </w:num>
  <w:num w:numId="11">
    <w:abstractNumId w:val="6"/>
  </w:num>
  <w:num w:numId="12">
    <w:abstractNumId w:val="9"/>
  </w:num>
  <w:num w:numId="13">
    <w:abstractNumId w:val="8"/>
  </w:num>
  <w:num w:numId="14">
    <w:abstractNumId w:val="10"/>
  </w:num>
  <w:num w:numId="15">
    <w:abstractNumId w:val="13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33B"/>
    <w:rsid w:val="00001C32"/>
    <w:rsid w:val="0001078E"/>
    <w:rsid w:val="000174E5"/>
    <w:rsid w:val="000174F4"/>
    <w:rsid w:val="0003054F"/>
    <w:rsid w:val="000466A0"/>
    <w:rsid w:val="000467AF"/>
    <w:rsid w:val="000620B5"/>
    <w:rsid w:val="000718AB"/>
    <w:rsid w:val="0008002A"/>
    <w:rsid w:val="00084489"/>
    <w:rsid w:val="000A47AE"/>
    <w:rsid w:val="000A7C3D"/>
    <w:rsid w:val="000D739A"/>
    <w:rsid w:val="000E11F2"/>
    <w:rsid w:val="000F302D"/>
    <w:rsid w:val="00105DD9"/>
    <w:rsid w:val="00110DA4"/>
    <w:rsid w:val="00146F00"/>
    <w:rsid w:val="0016458F"/>
    <w:rsid w:val="00187258"/>
    <w:rsid w:val="001942DD"/>
    <w:rsid w:val="001C35A3"/>
    <w:rsid w:val="001D6E71"/>
    <w:rsid w:val="00244061"/>
    <w:rsid w:val="00244821"/>
    <w:rsid w:val="0024515A"/>
    <w:rsid w:val="0026601F"/>
    <w:rsid w:val="0028656E"/>
    <w:rsid w:val="00296A9A"/>
    <w:rsid w:val="002B0DF4"/>
    <w:rsid w:val="002C49D0"/>
    <w:rsid w:val="002F164D"/>
    <w:rsid w:val="00310FCE"/>
    <w:rsid w:val="00316095"/>
    <w:rsid w:val="00316948"/>
    <w:rsid w:val="00365217"/>
    <w:rsid w:val="00365808"/>
    <w:rsid w:val="0036603B"/>
    <w:rsid w:val="00373B81"/>
    <w:rsid w:val="003834BA"/>
    <w:rsid w:val="003A3286"/>
    <w:rsid w:val="003A5E16"/>
    <w:rsid w:val="003E394A"/>
    <w:rsid w:val="003F5626"/>
    <w:rsid w:val="00402C09"/>
    <w:rsid w:val="00411ED7"/>
    <w:rsid w:val="00416B15"/>
    <w:rsid w:val="00446333"/>
    <w:rsid w:val="00457E38"/>
    <w:rsid w:val="0048299A"/>
    <w:rsid w:val="004A0AC8"/>
    <w:rsid w:val="004A34F1"/>
    <w:rsid w:val="004A3F82"/>
    <w:rsid w:val="004A4A5B"/>
    <w:rsid w:val="004A6778"/>
    <w:rsid w:val="004E1D17"/>
    <w:rsid w:val="004E3D41"/>
    <w:rsid w:val="00510096"/>
    <w:rsid w:val="00515F68"/>
    <w:rsid w:val="005339F8"/>
    <w:rsid w:val="00535E99"/>
    <w:rsid w:val="00547514"/>
    <w:rsid w:val="005518A7"/>
    <w:rsid w:val="00564916"/>
    <w:rsid w:val="00577883"/>
    <w:rsid w:val="005849C9"/>
    <w:rsid w:val="005B0B2D"/>
    <w:rsid w:val="005B102E"/>
    <w:rsid w:val="005B67E9"/>
    <w:rsid w:val="005D203A"/>
    <w:rsid w:val="005D357F"/>
    <w:rsid w:val="00626245"/>
    <w:rsid w:val="00631397"/>
    <w:rsid w:val="00642975"/>
    <w:rsid w:val="00643854"/>
    <w:rsid w:val="00654D46"/>
    <w:rsid w:val="0065594C"/>
    <w:rsid w:val="00662B8A"/>
    <w:rsid w:val="00667A41"/>
    <w:rsid w:val="006845A2"/>
    <w:rsid w:val="006B14D6"/>
    <w:rsid w:val="006E7A5C"/>
    <w:rsid w:val="007135BB"/>
    <w:rsid w:val="007302AD"/>
    <w:rsid w:val="007425D6"/>
    <w:rsid w:val="007468A4"/>
    <w:rsid w:val="00776EA8"/>
    <w:rsid w:val="007A33D9"/>
    <w:rsid w:val="007B3794"/>
    <w:rsid w:val="007B7D32"/>
    <w:rsid w:val="007C0999"/>
    <w:rsid w:val="007E08FF"/>
    <w:rsid w:val="007F233B"/>
    <w:rsid w:val="00837119"/>
    <w:rsid w:val="008376EB"/>
    <w:rsid w:val="00843064"/>
    <w:rsid w:val="00844A3E"/>
    <w:rsid w:val="00850B42"/>
    <w:rsid w:val="00876BA1"/>
    <w:rsid w:val="008858D0"/>
    <w:rsid w:val="0089522C"/>
    <w:rsid w:val="008B6977"/>
    <w:rsid w:val="008C7302"/>
    <w:rsid w:val="008F39D2"/>
    <w:rsid w:val="00904E3A"/>
    <w:rsid w:val="0091045A"/>
    <w:rsid w:val="00947CBD"/>
    <w:rsid w:val="009618DC"/>
    <w:rsid w:val="00984344"/>
    <w:rsid w:val="009A7272"/>
    <w:rsid w:val="009C3EE7"/>
    <w:rsid w:val="009D246C"/>
    <w:rsid w:val="009D7B8A"/>
    <w:rsid w:val="009F7F7B"/>
    <w:rsid w:val="00A21A70"/>
    <w:rsid w:val="00A307CB"/>
    <w:rsid w:val="00A52740"/>
    <w:rsid w:val="00A5601A"/>
    <w:rsid w:val="00A63238"/>
    <w:rsid w:val="00A95BC8"/>
    <w:rsid w:val="00B2289D"/>
    <w:rsid w:val="00B273CB"/>
    <w:rsid w:val="00B40C87"/>
    <w:rsid w:val="00B44C06"/>
    <w:rsid w:val="00B6776C"/>
    <w:rsid w:val="00BA04FD"/>
    <w:rsid w:val="00BB11EE"/>
    <w:rsid w:val="00BB4009"/>
    <w:rsid w:val="00BC647C"/>
    <w:rsid w:val="00BD77C3"/>
    <w:rsid w:val="00BE71D4"/>
    <w:rsid w:val="00C55B11"/>
    <w:rsid w:val="00C6520C"/>
    <w:rsid w:val="00C656E9"/>
    <w:rsid w:val="00C81547"/>
    <w:rsid w:val="00C96AB3"/>
    <w:rsid w:val="00CA3352"/>
    <w:rsid w:val="00CE3046"/>
    <w:rsid w:val="00D03041"/>
    <w:rsid w:val="00D11D53"/>
    <w:rsid w:val="00D268CA"/>
    <w:rsid w:val="00D316F3"/>
    <w:rsid w:val="00D55DAB"/>
    <w:rsid w:val="00D56E73"/>
    <w:rsid w:val="00D62025"/>
    <w:rsid w:val="00D6381C"/>
    <w:rsid w:val="00D644FE"/>
    <w:rsid w:val="00D94B97"/>
    <w:rsid w:val="00D950CF"/>
    <w:rsid w:val="00DB1C6B"/>
    <w:rsid w:val="00DB4200"/>
    <w:rsid w:val="00DB61FE"/>
    <w:rsid w:val="00DC335B"/>
    <w:rsid w:val="00E039C5"/>
    <w:rsid w:val="00E52917"/>
    <w:rsid w:val="00E77C59"/>
    <w:rsid w:val="00EB44B0"/>
    <w:rsid w:val="00EC1A23"/>
    <w:rsid w:val="00ED30D7"/>
    <w:rsid w:val="00ED36AA"/>
    <w:rsid w:val="00EE1A83"/>
    <w:rsid w:val="00EE55A1"/>
    <w:rsid w:val="00EE6136"/>
    <w:rsid w:val="00EE6F7D"/>
    <w:rsid w:val="00F05EA1"/>
    <w:rsid w:val="00F114CB"/>
    <w:rsid w:val="00F15FEA"/>
    <w:rsid w:val="00F20A37"/>
    <w:rsid w:val="00F27A18"/>
    <w:rsid w:val="00F451CC"/>
    <w:rsid w:val="00F5034E"/>
    <w:rsid w:val="00F62269"/>
    <w:rsid w:val="00FC11B9"/>
    <w:rsid w:val="00FD4D90"/>
    <w:rsid w:val="00FE3828"/>
    <w:rsid w:val="00FF7154"/>
    <w:rsid w:val="05B0C479"/>
    <w:rsid w:val="06C83F7D"/>
    <w:rsid w:val="070146AA"/>
    <w:rsid w:val="08BF1E6C"/>
    <w:rsid w:val="11DAC509"/>
    <w:rsid w:val="26CA2EAA"/>
    <w:rsid w:val="47598397"/>
    <w:rsid w:val="4D7D0221"/>
    <w:rsid w:val="6027209A"/>
    <w:rsid w:val="6437D7D0"/>
    <w:rsid w:val="6EE337B1"/>
    <w:rsid w:val="7D15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EADD65"/>
  <w15:chartTrackingRefBased/>
  <w15:docId w15:val="{96A71621-F0A2-4F40-9619-F167C676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20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91045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Paragraph">
    <w:name w:val="List Paragraph"/>
    <w:basedOn w:val="Normal"/>
    <w:uiPriority w:val="34"/>
    <w:qFormat/>
    <w:rsid w:val="0091045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916"/>
  </w:style>
  <w:style w:type="paragraph" w:styleId="Footer">
    <w:name w:val="footer"/>
    <w:basedOn w:val="Normal"/>
    <w:link w:val="FooterChar"/>
    <w:uiPriority w:val="99"/>
    <w:unhideWhenUsed/>
    <w:rsid w:val="005649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916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B102E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7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7CB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D4D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3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12ebb-a822-4a52-86d6-3a4909ca7b7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6A7E976A8341A081E34C6DD47713" ma:contentTypeVersion="9" ma:contentTypeDescription="Create a new document." ma:contentTypeScope="" ma:versionID="9f772e79d6c94deabf7eaeaa3a0130c5">
  <xsd:schema xmlns:xsd="http://www.w3.org/2001/XMLSchema" xmlns:xs="http://www.w3.org/2001/XMLSchema" xmlns:p="http://schemas.microsoft.com/office/2006/metadata/properties" xmlns:ns2="e6712ebb-a822-4a52-86d6-3a4909ca7b79" targetNamespace="http://schemas.microsoft.com/office/2006/metadata/properties" ma:root="true" ma:fieldsID="1bc8a119692ef854c77c1598470f98ac" ns2:_="">
    <xsd:import namespace="e6712ebb-a822-4a52-86d6-3a4909ca7b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12ebb-a822-4a52-86d6-3a4909ca7b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286ec34-a2ae-4ac6-b6b4-0b3167cce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AAD886-B1FD-41EB-8CD5-6EC2BB94C47C}">
  <ds:schemaRefs>
    <ds:schemaRef ds:uri="http://schemas.microsoft.com/office/2006/metadata/properties"/>
    <ds:schemaRef ds:uri="http://schemas.microsoft.com/office/infopath/2007/PartnerControls"/>
    <ds:schemaRef ds:uri="048ba3cb-4f74-44c5-a222-b0958585e340"/>
    <ds:schemaRef ds:uri="b383abd7-da92-4dda-851d-04041f7b3dea"/>
  </ds:schemaRefs>
</ds:datastoreItem>
</file>

<file path=customXml/itemProps2.xml><?xml version="1.0" encoding="utf-8"?>
<ds:datastoreItem xmlns:ds="http://schemas.openxmlformats.org/officeDocument/2006/customXml" ds:itemID="{6767A37C-59AF-4957-83E5-8CDA87C586C7}"/>
</file>

<file path=customXml/itemProps3.xml><?xml version="1.0" encoding="utf-8"?>
<ds:datastoreItem xmlns:ds="http://schemas.openxmlformats.org/officeDocument/2006/customXml" ds:itemID="{B055F8D3-EFBA-4B12-9E81-4AD4713B4A1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559768-720D-4F8B-AE0F-667342DA7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Schlieve</dc:creator>
  <cp:keywords/>
  <dc:description/>
  <cp:lastModifiedBy>Skoy, Elizabeth</cp:lastModifiedBy>
  <cp:revision>2</cp:revision>
  <cp:lastPrinted>2025-04-10T20:15:00Z</cp:lastPrinted>
  <dcterms:created xsi:type="dcterms:W3CDTF">2026-08-11T18:51:00Z</dcterms:created>
  <dcterms:modified xsi:type="dcterms:W3CDTF">2026-08-11T18:51:00Z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0x01010006536A7E976A8341A081E34C6DD47713</vt:lpwstr>
  </property>
  <property fmtid="{D5CDD505-2E9C-101B-9397-08002B2CF9AE}" pid="3" name="MediaServiceImageTags">
    <vt:lpwstr/>
  </property>
</Properties>
</file>