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A062C8" w:rsidR="005A3CE4" w:rsidP="005A3CE4" w:rsidRDefault="00C30DEA" w14:paraId="496EF3D0" w14:textId="538327E8">
      <w:pPr>
        <w:spacing w:after="0" w:line="240" w:lineRule="auto"/>
        <w:jc w:val="center"/>
        <w:rPr>
          <w:rFonts w:ascii="Rockwell" w:hAnsi="Rockwell" w:cs="Times New Roman"/>
          <w:b w:val="1"/>
          <w:bCs w:val="1"/>
          <w:sz w:val="28"/>
          <w:szCs w:val="28"/>
        </w:rPr>
      </w:pPr>
      <w:r w:rsidRPr="037C91BA" w:rsidR="00C30DEA">
        <w:rPr>
          <w:rFonts w:ascii="Rockwell" w:hAnsi="Rockwell" w:cs="Times New Roman"/>
          <w:b w:val="1"/>
          <w:bCs w:val="1"/>
          <w:sz w:val="28"/>
          <w:szCs w:val="28"/>
        </w:rPr>
        <w:t xml:space="preserve">COVID-19 </w:t>
      </w:r>
    </w:p>
    <w:p w:rsidRPr="00A062C8" w:rsidR="005A3CE4" w:rsidP="00D61DB8" w:rsidRDefault="00B74D98" w14:paraId="5840A114" w14:textId="54F63265">
      <w:pPr>
        <w:spacing w:after="0" w:line="240" w:lineRule="auto"/>
        <w:jc w:val="center"/>
        <w:rPr>
          <w:rFonts w:ascii="Rockwell" w:hAnsi="Rockwell" w:cs="Times New Roman"/>
          <w:b w:val="1"/>
          <w:bCs w:val="1"/>
        </w:rPr>
      </w:pPr>
      <w:r w:rsidRPr="037C91BA" w:rsidR="00B74D98">
        <w:rPr>
          <w:rFonts w:ascii="Rockwell" w:hAnsi="Rockwell" w:cs="Times New Roman"/>
          <w:b w:val="1"/>
          <w:bCs w:val="1"/>
        </w:rPr>
        <w:t>Pharmacy Assessment Protocol</w:t>
      </w:r>
    </w:p>
    <w:p w:rsidRPr="00A062C8" w:rsidR="00D61DB8" w:rsidP="00D61DB8" w:rsidRDefault="00D61DB8" w14:paraId="48922245" w14:textId="63795041">
      <w:pPr>
        <w:spacing w:after="0" w:line="240" w:lineRule="auto"/>
        <w:jc w:val="center"/>
        <w:rPr>
          <w:rFonts w:ascii="Rockwell" w:hAnsi="Rockwell" w:cs="Times New Roman"/>
          <w:b w:val="1"/>
          <w:bCs w:val="1"/>
        </w:rPr>
      </w:pPr>
    </w:p>
    <w:p w:rsidRPr="00A062C8" w:rsidR="005A3CE4" w:rsidP="005A3CE4" w:rsidRDefault="005A3CE4" w14:paraId="24D0D4B2" w14:textId="192253D1">
      <w:pPr>
        <w:spacing w:after="0" w:line="240" w:lineRule="auto"/>
        <w:rPr>
          <w:rFonts w:ascii="Rockwell" w:hAnsi="Rockwell" w:cs="Times New Roman"/>
          <w:b w:val="1"/>
          <w:bCs w:val="1"/>
        </w:rPr>
      </w:pPr>
      <w:r w:rsidRPr="037C91BA" w:rsidR="005A3CE4">
        <w:rPr>
          <w:rFonts w:ascii="Rockwell" w:hAnsi="Rockwell" w:cs="Times New Roman"/>
          <w:b w:val="1"/>
          <w:bCs w:val="1"/>
        </w:rPr>
        <w:t>ELIGIBILITY FOR SERVICE</w:t>
      </w:r>
    </w:p>
    <w:p w:rsidRPr="00A062C8" w:rsidR="00CD5275" w:rsidP="00CD5275" w:rsidRDefault="00CD5275" w14:paraId="3CAE9884" w14:textId="566CA407">
      <w:pPr>
        <w:spacing w:after="0" w:line="240" w:lineRule="auto"/>
        <w:rPr>
          <w:rFonts w:ascii="Rockwell" w:hAnsi="Rockwell" w:cs="Times New Roman"/>
        </w:rPr>
      </w:pPr>
      <w:bookmarkStart w:name="_Hlk154576533" w:id="8"/>
      <w:r w:rsidRPr="037C91BA" w:rsidR="00CD5275">
        <w:rPr>
          <w:rFonts w:ascii="Rockwell" w:hAnsi="Rockwell" w:cs="Times New Roman"/>
        </w:rPr>
        <w:t>The pharmacy will refer patients with the any of the following symptoms/conditions for further medical evaluation:</w:t>
      </w:r>
    </w:p>
    <w:bookmarkEnd w:id="8"/>
    <w:p w:rsidRPr="00A062C8" w:rsidR="00CD5275" w:rsidP="00CD5275" w:rsidRDefault="00CD5275" w14:paraId="111DD29A" w14:textId="0EB00706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37C91BA" w:rsidR="00CD5275">
        <w:rPr>
          <w:rFonts w:ascii="Rockwell" w:hAnsi="Rockwell" w:cs="Times New Roman"/>
        </w:rPr>
        <w:t>Patients that are pregnant</w:t>
      </w:r>
    </w:p>
    <w:p w:rsidRPr="00A062C8" w:rsidR="000844B6" w:rsidP="037C91BA" w:rsidRDefault="00292CBA" w14:paraId="6B90AEDE" w14:textId="1506F0E5">
      <w:pPr>
        <w:pStyle w:val="Normal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37C91BA" w:rsidR="00292CBA">
        <w:rPr>
          <w:rFonts w:ascii="Rockwell" w:hAnsi="Rockwell" w:cs="Times New Roman"/>
        </w:rPr>
        <w:t>Immunocompromised</w:t>
      </w:r>
    </w:p>
    <w:p w:rsidRPr="00A062C8" w:rsidR="0051643C" w:rsidP="0051643C" w:rsidRDefault="00A82EC6" w14:paraId="0B00927F" w14:textId="39E3C964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37C91BA" w:rsidR="00A82EC6">
        <w:rPr>
          <w:rFonts w:ascii="Rockwell" w:hAnsi="Rockwell" w:cs="Times New Roman"/>
        </w:rPr>
        <w:t>Any condition requiring supplemental oxygen therapy</w:t>
      </w:r>
    </w:p>
    <w:p w:rsidRPr="00A062C8" w:rsidR="003944CC" w:rsidP="003944CC" w:rsidRDefault="008D4A43" w14:paraId="5C855F0C" w14:textId="4EDBB162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37C91BA" w:rsidR="008D4A43">
        <w:rPr>
          <w:rFonts w:ascii="Rockwell" w:hAnsi="Rockwell" w:cs="Times New Roman"/>
        </w:rPr>
        <w:t>Patients</w:t>
      </w:r>
      <w:r w:rsidRPr="037C91BA" w:rsidR="00CD5275">
        <w:rPr>
          <w:rFonts w:ascii="Rockwell" w:hAnsi="Rockwell" w:cs="Times New Roman"/>
        </w:rPr>
        <w:t xml:space="preserve"> &lt;</w:t>
      </w:r>
      <w:r w:rsidRPr="037C91BA" w:rsidR="008D4A43">
        <w:rPr>
          <w:rFonts w:ascii="Rockwell" w:hAnsi="Rockwell" w:cs="Times New Roman"/>
        </w:rPr>
        <w:t>18</w:t>
      </w:r>
      <w:r w:rsidRPr="037C91BA" w:rsidR="00CD5275">
        <w:rPr>
          <w:rFonts w:ascii="Rockwell" w:hAnsi="Rockwell" w:cs="Times New Roman"/>
        </w:rPr>
        <w:t xml:space="preserve"> </w:t>
      </w:r>
      <w:r w:rsidRPr="037C91BA" w:rsidR="003944CC">
        <w:rPr>
          <w:rFonts w:ascii="Rockwell" w:hAnsi="Rockwell" w:cs="Times New Roman"/>
        </w:rPr>
        <w:t>and &gt;64 years of ages</w:t>
      </w:r>
    </w:p>
    <w:p w:rsidRPr="00A062C8" w:rsidR="00CD5275" w:rsidP="00CD5275" w:rsidRDefault="00CD5275" w14:paraId="6B1CB6C1" w14:textId="6E632E8C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37C91BA" w:rsidR="00CD5275">
        <w:rPr>
          <w:rFonts w:ascii="Rockwell" w:hAnsi="Rockwell" w:cs="Times New Roman"/>
        </w:rPr>
        <w:t>Temperature &gt;10</w:t>
      </w:r>
      <w:r w:rsidRPr="037C91BA" w:rsidR="00D07154">
        <w:rPr>
          <w:rFonts w:ascii="Rockwell" w:hAnsi="Rockwell" w:cs="Times New Roman"/>
        </w:rPr>
        <w:t>3</w:t>
      </w:r>
      <w:r w:rsidRPr="037C91BA" w:rsidR="00CD5275">
        <w:rPr>
          <w:rFonts w:ascii="Rockwell" w:hAnsi="Rockwell" w:cs="Times New Roman"/>
        </w:rPr>
        <w:t xml:space="preserve">° F </w:t>
      </w:r>
    </w:p>
    <w:p w:rsidRPr="00A062C8" w:rsidR="00CD5275" w:rsidP="00CD5275" w:rsidRDefault="00CD5275" w14:paraId="479C0119" w14:textId="06D35D8E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37C91BA" w:rsidR="00CD5275">
        <w:rPr>
          <w:rFonts w:ascii="Rockwell" w:hAnsi="Rockwell" w:cs="Times New Roman"/>
        </w:rPr>
        <w:t>Respiratory rate of &gt;</w:t>
      </w:r>
      <w:r w:rsidRPr="037C91BA" w:rsidR="00D07154">
        <w:rPr>
          <w:rFonts w:ascii="Rockwell" w:hAnsi="Rockwell" w:cs="Times New Roman"/>
        </w:rPr>
        <w:t>3</w:t>
      </w:r>
      <w:r w:rsidRPr="037C91BA" w:rsidR="00CD5275">
        <w:rPr>
          <w:rFonts w:ascii="Rockwell" w:hAnsi="Rockwell" w:cs="Times New Roman"/>
        </w:rPr>
        <w:t>0 breaths per minute</w:t>
      </w:r>
    </w:p>
    <w:p w:rsidRPr="00A062C8" w:rsidR="008D3EED" w:rsidP="00F70F98" w:rsidRDefault="00D63B95" w14:paraId="34685C7C" w14:textId="11DEE606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37C91BA" w:rsidR="00D63B95">
        <w:rPr>
          <w:rFonts w:ascii="Rockwell" w:hAnsi="Rockwell" w:cs="Times New Roman"/>
        </w:rPr>
        <w:t>Oxygen saturation &lt;</w:t>
      </w:r>
      <w:r w:rsidRPr="037C91BA" w:rsidR="0051643C">
        <w:rPr>
          <w:rFonts w:ascii="Rockwell" w:hAnsi="Rockwell" w:cs="Times New Roman"/>
        </w:rPr>
        <w:t>9</w:t>
      </w:r>
      <w:r w:rsidRPr="037C91BA" w:rsidR="007D7DA9">
        <w:rPr>
          <w:rFonts w:ascii="Rockwell" w:hAnsi="Rockwell" w:cs="Times New Roman"/>
        </w:rPr>
        <w:t>4</w:t>
      </w:r>
      <w:r w:rsidRPr="037C91BA" w:rsidR="0051643C">
        <w:rPr>
          <w:rFonts w:ascii="Rockwell" w:hAnsi="Rockwell" w:cs="Times New Roman"/>
        </w:rPr>
        <w:t>%</w:t>
      </w:r>
    </w:p>
    <w:p w:rsidRPr="00A062C8" w:rsidR="00AE3E8F" w:rsidP="00F70F98" w:rsidRDefault="00AE3E8F" w14:paraId="2A363DE3" w14:textId="009824F1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37C91BA" w:rsidR="00AE3E8F">
        <w:rPr>
          <w:rFonts w:ascii="Rockwell" w:hAnsi="Rockwell" w:cs="Times New Roman"/>
        </w:rPr>
        <w:t>Pulse &gt; 125 beats per minute</w:t>
      </w:r>
    </w:p>
    <w:p w:rsidRPr="00A062C8" w:rsidR="00CD5275" w:rsidP="005A3CE4" w:rsidRDefault="00CD5275" w14:paraId="479510B4" w14:textId="77777777">
      <w:pPr>
        <w:spacing w:after="0" w:line="240" w:lineRule="auto"/>
        <w:rPr>
          <w:rFonts w:ascii="Rockwell" w:hAnsi="Rockwell" w:cs="Times New Roman"/>
        </w:rPr>
      </w:pPr>
    </w:p>
    <w:p w:rsidRPr="00A062C8" w:rsidR="00D222CA" w:rsidP="00FE7647" w:rsidRDefault="00FE7647" w14:paraId="0B236901" w14:textId="68F393AB">
      <w:pPr>
        <w:spacing w:line="240" w:lineRule="auto"/>
        <w:rPr>
          <w:rFonts w:ascii="Rockwell" w:hAnsi="Rockwell" w:cs="Times New Roman"/>
          <w:b w:val="1"/>
          <w:bCs w:val="1"/>
        </w:rPr>
      </w:pPr>
      <w:r w:rsidRPr="037C91BA" w:rsidR="00FE7647">
        <w:rPr>
          <w:rFonts w:ascii="Rockwell" w:hAnsi="Rockwell" w:cs="Times New Roman"/>
          <w:b w:val="1"/>
          <w:bCs w:val="1"/>
        </w:rPr>
        <w:t>TESTING CRITERIA</w:t>
      </w:r>
    </w:p>
    <w:p w:rsidRPr="00A062C8" w:rsidR="00FE7647" w:rsidP="005B36E4" w:rsidRDefault="00FC4B6B" w14:paraId="36B7B948" w14:textId="42AA6AC2">
      <w:pPr>
        <w:spacing w:after="0" w:line="240" w:lineRule="auto"/>
        <w:rPr>
          <w:rFonts w:ascii="Rockwell" w:hAnsi="Rockwell"/>
        </w:rPr>
      </w:pPr>
      <w:r w:rsidRPr="037C91BA" w:rsidR="00FC4B6B">
        <w:rPr>
          <w:rFonts w:ascii="Rockwell" w:hAnsi="Rockwell" w:cs="Times New Roman"/>
        </w:rPr>
        <w:t>C</w:t>
      </w:r>
      <w:r w:rsidRPr="037C91BA" w:rsidR="00BA4DB7">
        <w:rPr>
          <w:rFonts w:ascii="Rockwell" w:hAnsi="Rockwell" w:cs="Times New Roman"/>
        </w:rPr>
        <w:t>onsider testing anyone</w:t>
      </w:r>
      <w:r w:rsidRPr="037C91BA" w:rsidR="008C04AB">
        <w:rPr>
          <w:rFonts w:ascii="Rockwell" w:hAnsi="Rockwell" w:cs="Times New Roman"/>
        </w:rPr>
        <w:t xml:space="preserve"> presenting with</w:t>
      </w:r>
      <w:r w:rsidRPr="037C91BA" w:rsidR="64E9ADC6">
        <w:rPr>
          <w:rFonts w:ascii="Rockwell" w:hAnsi="Rockwell" w:cs="Times New Roman"/>
        </w:rPr>
        <w:t>in 5 days of</w:t>
      </w:r>
      <w:r w:rsidRPr="037C91BA" w:rsidR="008C04AB">
        <w:rPr>
          <w:rFonts w:ascii="Rockwell" w:hAnsi="Rockwell" w:cs="Times New Roman"/>
        </w:rPr>
        <w:t xml:space="preserve"> symptom</w:t>
      </w:r>
      <w:r w:rsidRPr="037C91BA" w:rsidR="33EFDC4E">
        <w:rPr>
          <w:rFonts w:ascii="Rockwell" w:hAnsi="Rockwell" w:cs="Times New Roman"/>
        </w:rPr>
        <w:t xml:space="preserve"> onset</w:t>
      </w:r>
      <w:r w:rsidRPr="037C91BA" w:rsidR="006035D9">
        <w:rPr>
          <w:rFonts w:ascii="Rockwell" w:hAnsi="Rockwell" w:cs="Times New Roman"/>
        </w:rPr>
        <w:t xml:space="preserve"> during times of </w:t>
      </w:r>
      <w:r w:rsidRPr="037C91BA" w:rsidR="002E7849">
        <w:rPr>
          <w:rFonts w:ascii="Rockwell" w:hAnsi="Rockwell" w:cs="Times New Roman"/>
        </w:rPr>
        <w:t>COVID-19</w:t>
      </w:r>
      <w:r w:rsidRPr="037C91BA" w:rsidR="006035D9">
        <w:rPr>
          <w:rFonts w:ascii="Rockwell" w:hAnsi="Rockwell" w:cs="Times New Roman"/>
        </w:rPr>
        <w:t xml:space="preserve"> activity</w:t>
      </w:r>
      <w:r w:rsidRPr="037C91BA" w:rsidR="00FC4B6B">
        <w:rPr>
          <w:rFonts w:ascii="Rockwell" w:hAnsi="Rockwell" w:cs="Times New Roman"/>
        </w:rPr>
        <w:t xml:space="preserve"> when the result will influence clinical management and outbreak response</w:t>
      </w:r>
      <w:r w:rsidRPr="037C91BA" w:rsidR="00FE7647">
        <w:rPr>
          <w:rFonts w:ascii="Rockwell" w:hAnsi="Rockwell" w:cs="Times New Roman"/>
        </w:rPr>
        <w:t>:</w:t>
      </w:r>
    </w:p>
    <w:p w:rsidRPr="00A062C8" w:rsidR="009E393E" w:rsidP="0E1C9032" w:rsidRDefault="009E393E" w14:paraId="11560D66" w14:textId="065E77AD">
      <w:pPr>
        <w:spacing w:after="0" w:line="240" w:lineRule="auto"/>
        <w:rPr>
          <w:rFonts w:ascii="Rockwell" w:hAnsi="Rockwell" w:cs="Times New Roman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825"/>
        <w:gridCol w:w="1245"/>
        <w:gridCol w:w="2062"/>
        <w:gridCol w:w="1943"/>
        <w:gridCol w:w="1207"/>
        <w:gridCol w:w="1598"/>
        <w:gridCol w:w="1800"/>
      </w:tblGrid>
      <w:tr w:rsidRPr="00A062C8" w:rsidR="0E1C9032" w:rsidTr="037C91BA" w14:paraId="6614E1ED" w14:textId="77777777">
        <w:trPr>
          <w:trHeight w:val="495"/>
        </w:trPr>
        <w:tc>
          <w:tcPr>
            <w:tcW w:w="825" w:type="dxa"/>
            <w:tcMar>
              <w:left w:w="105" w:type="dxa"/>
              <w:right w:w="105" w:type="dxa"/>
            </w:tcMar>
            <w:vAlign w:val="center"/>
          </w:tcPr>
          <w:p w:rsidRPr="00A062C8" w:rsidR="0E1C9032" w:rsidP="037C91BA" w:rsidRDefault="0E1C9032" w14:paraId="113A8121" w14:textId="445BB833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E1C9032">
              <w:rPr>
                <w:rFonts w:ascii="Rockwell" w:hAnsi="Rockwell" w:eastAsia="Roboto" w:cs="Roboto"/>
                <w:color w:val="000000" w:themeColor="text1" w:themeTint="FF" w:themeShade="FF"/>
              </w:rPr>
              <w:t>Chills</w:t>
            </w:r>
          </w:p>
        </w:tc>
        <w:tc>
          <w:tcPr>
            <w:tcW w:w="1245" w:type="dxa"/>
            <w:tcMar>
              <w:left w:w="105" w:type="dxa"/>
              <w:right w:w="105" w:type="dxa"/>
            </w:tcMar>
            <w:vAlign w:val="center"/>
          </w:tcPr>
          <w:p w:rsidRPr="00A062C8" w:rsidR="763B87CF" w:rsidP="037C91BA" w:rsidRDefault="763B87CF" w14:paraId="39560DE6" w14:textId="7EED86A9">
            <w:pPr>
              <w:jc w:val="center"/>
              <w:rPr>
                <w:rFonts w:ascii="Rockwell" w:hAnsi="Rockwell"/>
              </w:rPr>
            </w:pPr>
            <w:r w:rsidRPr="037C91BA" w:rsidR="763B87CF">
              <w:rPr>
                <w:rFonts w:ascii="Rockwell" w:hAnsi="Rockwell" w:eastAsia="Roboto" w:cs="Roboto"/>
                <w:color w:val="000000" w:themeColor="text1" w:themeTint="FF" w:themeShade="FF"/>
              </w:rPr>
              <w:t>Cough</w:t>
            </w:r>
          </w:p>
        </w:tc>
        <w:tc>
          <w:tcPr>
            <w:tcW w:w="2062" w:type="dxa"/>
            <w:tcMar>
              <w:left w:w="105" w:type="dxa"/>
              <w:right w:w="105" w:type="dxa"/>
            </w:tcMar>
            <w:vAlign w:val="center"/>
          </w:tcPr>
          <w:p w:rsidRPr="00A062C8" w:rsidR="154DC84E" w:rsidP="037C91BA" w:rsidRDefault="154DC84E" w14:paraId="1490B810" w14:textId="25C17260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154DC84E">
              <w:rPr>
                <w:rFonts w:ascii="Rockwell" w:hAnsi="Rockwell" w:eastAsia="Roboto" w:cs="Roboto"/>
                <w:color w:val="000000" w:themeColor="text1" w:themeTint="FF" w:themeShade="FF"/>
              </w:rPr>
              <w:t>Headache</w:t>
            </w:r>
          </w:p>
          <w:p w:rsidRPr="00A062C8" w:rsidR="0E1C9032" w:rsidP="037C91BA" w:rsidRDefault="0E1C9032" w14:paraId="110B69CE" w14:textId="43D41705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</w:p>
        </w:tc>
        <w:tc>
          <w:tcPr>
            <w:tcW w:w="1943" w:type="dxa"/>
            <w:tcMar>
              <w:left w:w="105" w:type="dxa"/>
              <w:right w:w="105" w:type="dxa"/>
            </w:tcMar>
            <w:vAlign w:val="center"/>
          </w:tcPr>
          <w:p w:rsidRPr="00A062C8" w:rsidR="0E1C9032" w:rsidP="037C91BA" w:rsidRDefault="0E1C9032" w14:paraId="7FAE7B36" w14:textId="0A5E406B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E1C9032">
              <w:rPr>
                <w:rFonts w:ascii="Rockwell" w:hAnsi="Rockwell" w:eastAsia="Roboto" w:cs="Roboto"/>
                <w:color w:val="000000" w:themeColor="text1" w:themeTint="FF" w:themeShade="FF"/>
              </w:rPr>
              <w:t>Nasal congestion</w:t>
            </w:r>
          </w:p>
        </w:tc>
        <w:tc>
          <w:tcPr>
            <w:tcW w:w="1207" w:type="dxa"/>
            <w:tcMar>
              <w:left w:w="105" w:type="dxa"/>
              <w:right w:w="105" w:type="dxa"/>
            </w:tcMar>
            <w:vAlign w:val="center"/>
          </w:tcPr>
          <w:p w:rsidRPr="00A062C8" w:rsidR="0E1C9032" w:rsidP="037C91BA" w:rsidRDefault="0E1C9032" w14:paraId="7D30837E" w14:textId="737B751C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E1C9032">
              <w:rPr>
                <w:rFonts w:ascii="Rockwell" w:hAnsi="Rockwell" w:eastAsia="Roboto" w:cs="Roboto"/>
                <w:color w:val="000000" w:themeColor="text1" w:themeTint="FF" w:themeShade="FF"/>
              </w:rPr>
              <w:t>Vomiting</w:t>
            </w:r>
          </w:p>
        </w:tc>
        <w:tc>
          <w:tcPr>
            <w:tcW w:w="1598" w:type="dxa"/>
            <w:tcMar>
              <w:left w:w="105" w:type="dxa"/>
              <w:right w:w="105" w:type="dxa"/>
            </w:tcMar>
            <w:vAlign w:val="center"/>
          </w:tcPr>
          <w:p w:rsidRPr="00A062C8" w:rsidR="0E1C9032" w:rsidP="037C91BA" w:rsidRDefault="0E1C9032" w14:paraId="73CE10BF" w14:textId="488E21BC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E1C9032">
              <w:rPr>
                <w:rFonts w:ascii="Rockwell" w:hAnsi="Rockwell" w:eastAsia="Roboto" w:cs="Roboto"/>
                <w:color w:val="000000" w:themeColor="text1" w:themeTint="FF" w:themeShade="FF"/>
              </w:rPr>
              <w:t>Sore throat</w:t>
            </w: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Pr="00A062C8" w:rsidR="50984E53" w:rsidP="037C91BA" w:rsidRDefault="50984E53" w14:paraId="11180325" w14:textId="212C0A09">
            <w:pPr>
              <w:jc w:val="center"/>
              <w:rPr>
                <w:rFonts w:ascii="Rockwell" w:hAnsi="Rockwell"/>
              </w:rPr>
            </w:pPr>
            <w:r w:rsidRPr="037C91BA" w:rsidR="50984E53">
              <w:rPr>
                <w:rFonts w:ascii="Rockwell" w:hAnsi="Rockwell" w:eastAsia="Roboto" w:cs="Roboto"/>
                <w:color w:val="000000" w:themeColor="text1" w:themeTint="FF" w:themeShade="FF"/>
              </w:rPr>
              <w:t>Muscle pain</w:t>
            </w:r>
          </w:p>
        </w:tc>
      </w:tr>
      <w:tr w:rsidRPr="00A062C8" w:rsidR="003B37BA" w:rsidTr="037C91BA" w14:paraId="7876A987" w14:textId="77777777">
        <w:trPr>
          <w:trHeight w:val="450"/>
        </w:trPr>
        <w:tc>
          <w:tcPr>
            <w:tcW w:w="825" w:type="dxa"/>
            <w:tcMar>
              <w:left w:w="105" w:type="dxa"/>
              <w:right w:w="105" w:type="dxa"/>
            </w:tcMar>
            <w:vAlign w:val="center"/>
          </w:tcPr>
          <w:p w:rsidRPr="00A062C8" w:rsidR="003B37BA" w:rsidP="037C91BA" w:rsidRDefault="003B37BA" w14:paraId="14690A88" w14:textId="1A5276EA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03B37BA">
              <w:rPr>
                <w:rFonts w:ascii="Rockwell" w:hAnsi="Rockwell" w:eastAsia="Roboto" w:cs="Roboto"/>
                <w:color w:val="000000" w:themeColor="text1" w:themeTint="FF" w:themeShade="FF"/>
              </w:rPr>
              <w:t>Fever</w:t>
            </w:r>
          </w:p>
        </w:tc>
        <w:tc>
          <w:tcPr>
            <w:tcW w:w="1245" w:type="dxa"/>
            <w:tcMar>
              <w:left w:w="105" w:type="dxa"/>
              <w:right w:w="105" w:type="dxa"/>
            </w:tcMar>
            <w:vAlign w:val="center"/>
          </w:tcPr>
          <w:p w:rsidRPr="00A062C8" w:rsidR="003B37BA" w:rsidP="037C91BA" w:rsidRDefault="003B37BA" w14:paraId="79A308EF" w14:textId="26E4192B">
            <w:pPr>
              <w:jc w:val="center"/>
              <w:rPr>
                <w:rFonts w:ascii="Rockwell" w:hAnsi="Rockwell"/>
              </w:rPr>
            </w:pPr>
            <w:r w:rsidRPr="037C91BA" w:rsidR="003B37BA">
              <w:rPr>
                <w:rFonts w:ascii="Rockwell" w:hAnsi="Rockwell" w:eastAsia="Roboto" w:cs="Roboto"/>
                <w:color w:val="000000" w:themeColor="text1" w:themeTint="FF" w:themeShade="FF"/>
              </w:rPr>
              <w:t>Shortness of breath</w:t>
            </w:r>
          </w:p>
        </w:tc>
        <w:tc>
          <w:tcPr>
            <w:tcW w:w="2062" w:type="dxa"/>
            <w:tcMar>
              <w:left w:w="105" w:type="dxa"/>
              <w:right w:w="105" w:type="dxa"/>
            </w:tcMar>
            <w:vAlign w:val="center"/>
          </w:tcPr>
          <w:p w:rsidRPr="00A062C8" w:rsidR="003B37BA" w:rsidP="037C91BA" w:rsidRDefault="003B37BA" w14:paraId="6C511765" w14:textId="67E481C0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03B37BA">
              <w:rPr>
                <w:rFonts w:ascii="Rockwell" w:hAnsi="Rockwell" w:eastAsia="Roboto" w:cs="Roboto"/>
                <w:color w:val="000000" w:themeColor="text1" w:themeTint="FF" w:themeShade="FF"/>
              </w:rPr>
              <w:t>Rhinorrhea</w:t>
            </w:r>
          </w:p>
        </w:tc>
        <w:tc>
          <w:tcPr>
            <w:tcW w:w="1943" w:type="dxa"/>
            <w:tcMar>
              <w:left w:w="105" w:type="dxa"/>
              <w:right w:w="105" w:type="dxa"/>
            </w:tcMar>
            <w:vAlign w:val="center"/>
          </w:tcPr>
          <w:p w:rsidRPr="00A062C8" w:rsidR="003B37BA" w:rsidP="037C91BA" w:rsidRDefault="003B37BA" w14:paraId="46791372" w14:textId="6DDA2B9C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03B37BA">
              <w:rPr>
                <w:rFonts w:ascii="Rockwell" w:hAnsi="Rockwell" w:eastAsia="Roboto" w:cs="Roboto"/>
                <w:color w:val="000000" w:themeColor="text1" w:themeTint="FF" w:themeShade="FF"/>
              </w:rPr>
              <w:t xml:space="preserve">Fatigue </w:t>
            </w:r>
          </w:p>
        </w:tc>
        <w:tc>
          <w:tcPr>
            <w:tcW w:w="1207" w:type="dxa"/>
            <w:tcMar>
              <w:left w:w="105" w:type="dxa"/>
              <w:right w:w="105" w:type="dxa"/>
            </w:tcMar>
            <w:vAlign w:val="center"/>
          </w:tcPr>
          <w:p w:rsidRPr="00A062C8" w:rsidR="003B37BA" w:rsidP="037C91BA" w:rsidRDefault="003B37BA" w14:paraId="61BE7AE8" w14:textId="6C61693F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03B37BA">
              <w:rPr>
                <w:rFonts w:ascii="Rockwell" w:hAnsi="Rockwell" w:eastAsia="Roboto" w:cs="Roboto"/>
                <w:color w:val="000000" w:themeColor="text1" w:themeTint="FF" w:themeShade="FF"/>
              </w:rPr>
              <w:t>Diarrhea</w:t>
            </w:r>
          </w:p>
        </w:tc>
        <w:tc>
          <w:tcPr>
            <w:tcW w:w="3398" w:type="dxa"/>
            <w:gridSpan w:val="2"/>
            <w:tcMar>
              <w:left w:w="105" w:type="dxa"/>
              <w:right w:w="105" w:type="dxa"/>
            </w:tcMar>
            <w:vAlign w:val="center"/>
          </w:tcPr>
          <w:p w:rsidRPr="00A062C8" w:rsidR="003B37BA" w:rsidP="037C91BA" w:rsidRDefault="003B37BA" w14:paraId="1F10EF67" w14:textId="14CC774E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  <w:r w:rsidRPr="037C91BA" w:rsidR="003B37BA">
              <w:rPr>
                <w:rFonts w:ascii="Rockwell" w:hAnsi="Rockwell" w:eastAsia="Roboto" w:cs="Roboto"/>
                <w:color w:val="000000" w:themeColor="text1" w:themeTint="FF" w:themeShade="FF"/>
              </w:rPr>
              <w:t>Nonproductive cough</w:t>
            </w:r>
          </w:p>
          <w:p w:rsidRPr="00A062C8" w:rsidR="003B37BA" w:rsidP="037C91BA" w:rsidRDefault="003B37BA" w14:paraId="02965B79" w14:textId="15F1066F">
            <w:pPr>
              <w:jc w:val="center"/>
              <w:rPr>
                <w:rFonts w:ascii="Rockwell" w:hAnsi="Rockwell" w:eastAsia="Roboto" w:cs="Roboto"/>
                <w:color w:val="000000" w:themeColor="text1"/>
              </w:rPr>
            </w:pPr>
          </w:p>
        </w:tc>
      </w:tr>
    </w:tbl>
    <w:p w:rsidRPr="00A062C8" w:rsidR="009E393E" w:rsidP="005B36E4" w:rsidRDefault="009E393E" w14:paraId="0A745A21" w14:textId="6589280A">
      <w:pPr>
        <w:spacing w:after="0" w:line="240" w:lineRule="auto"/>
        <w:rPr>
          <w:rFonts w:ascii="Rockwell" w:hAnsi="Rockwell" w:cs="Times New Roman"/>
        </w:rPr>
      </w:pPr>
    </w:p>
    <w:p w:rsidRPr="00A062C8" w:rsidR="0051643C" w:rsidP="005B36E4" w:rsidRDefault="0051643C" w14:paraId="1450E85E" w14:textId="70F83D29">
      <w:pPr>
        <w:spacing w:after="0" w:line="240" w:lineRule="auto"/>
        <w:rPr>
          <w:rFonts w:ascii="Rockwell" w:hAnsi="Rockwell" w:cs="Times New Roman"/>
        </w:rPr>
      </w:pPr>
    </w:p>
    <w:p w:rsidRPr="00A062C8" w:rsidR="005A3CE4" w:rsidP="005A3CE4" w:rsidRDefault="00682B40" w14:paraId="1003DB17" w14:textId="578A522D">
      <w:pPr>
        <w:spacing w:after="0" w:line="240" w:lineRule="auto"/>
        <w:rPr>
          <w:rFonts w:ascii="Rockwell" w:hAnsi="Rockwell" w:cs="Times New Roman"/>
        </w:rPr>
      </w:pPr>
      <w:r w:rsidRPr="037C91BA" w:rsidR="00682B40">
        <w:rPr>
          <w:rFonts w:ascii="Rockwell" w:hAnsi="Rockwell" w:cs="Times New Roman"/>
          <w:b w:val="1"/>
          <w:bCs w:val="1"/>
        </w:rPr>
        <w:t>PRESCRIBING</w:t>
      </w:r>
    </w:p>
    <w:p w:rsidRPr="00A062C8" w:rsidR="00272FC2" w:rsidP="00862217" w:rsidRDefault="00452094" w14:paraId="323B4461" w14:textId="1579D8BD">
      <w:pPr>
        <w:spacing w:after="0" w:line="240" w:lineRule="auto"/>
        <w:rPr>
          <w:rFonts w:ascii="Rockwell" w:hAnsi="Rockwell" w:eastAsia="Times New Roman" w:cs="Times New Roman"/>
        </w:rPr>
      </w:pPr>
      <w:r w:rsidRPr="037C91BA" w:rsidR="00452094">
        <w:rPr>
          <w:rFonts w:ascii="Rockwell" w:hAnsi="Rockwell" w:eastAsia="Times New Roman" w:cs="Times New Roman"/>
        </w:rPr>
        <w:t xml:space="preserve">Upon a positive test </w:t>
      </w:r>
      <w:r w:rsidRPr="037C91BA" w:rsidR="66BB73D3">
        <w:rPr>
          <w:rFonts w:ascii="Rockwell" w:hAnsi="Rockwell" w:eastAsia="Times New Roman" w:cs="Times New Roman"/>
        </w:rPr>
        <w:t>result,</w:t>
      </w:r>
      <w:r w:rsidRPr="037C91BA" w:rsidR="00452094">
        <w:rPr>
          <w:rFonts w:ascii="Rockwell" w:hAnsi="Rockwell" w:eastAsia="Times New Roman" w:cs="Times New Roman"/>
        </w:rPr>
        <w:t xml:space="preserve"> </w:t>
      </w:r>
      <w:r w:rsidRPr="037C91BA" w:rsidR="00A90ACC">
        <w:rPr>
          <w:rFonts w:ascii="Rockwell" w:hAnsi="Rockwell" w:eastAsia="Times New Roman" w:cs="Times New Roman"/>
        </w:rPr>
        <w:t xml:space="preserve">those </w:t>
      </w:r>
      <w:r w:rsidRPr="037C91BA" w:rsidR="00743E25">
        <w:rPr>
          <w:rFonts w:ascii="Rockwell" w:hAnsi="Rockwell" w:eastAsia="Times New Roman" w:cs="Times New Roman"/>
        </w:rPr>
        <w:t xml:space="preserve">at increased risk </w:t>
      </w:r>
      <w:r w:rsidRPr="037C91BA" w:rsidR="005100B3">
        <w:rPr>
          <w:rFonts w:ascii="Rockwell" w:hAnsi="Rockwell" w:eastAsia="Times New Roman" w:cs="Times New Roman"/>
        </w:rPr>
        <w:t xml:space="preserve">for progression to severed disease </w:t>
      </w:r>
      <w:r w:rsidRPr="037C91BA" w:rsidR="00743E25">
        <w:rPr>
          <w:rFonts w:ascii="Rockwell" w:hAnsi="Rockwell" w:eastAsia="Times New Roman" w:cs="Times New Roman"/>
        </w:rPr>
        <w:t>should be considered for treatment.</w:t>
      </w:r>
      <w:r w:rsidRPr="037C91BA" w:rsidR="00743E25">
        <w:rPr>
          <w:rFonts w:ascii="Rockwell" w:hAnsi="Rockwell" w:eastAsia="Times New Roman" w:cs="Times New Roman"/>
        </w:rPr>
        <w:t xml:space="preserve">  </w:t>
      </w:r>
    </w:p>
    <w:p w:rsidRPr="00A062C8" w:rsidR="00272FC2" w:rsidP="00862217" w:rsidRDefault="003F5CE4" w14:paraId="712F3A6B" w14:textId="7BBED474">
      <w:pPr>
        <w:spacing w:after="0" w:line="240" w:lineRule="auto"/>
        <w:rPr>
          <w:rFonts w:ascii="Rockwell" w:hAnsi="Rockwell" w:eastAsia="Times New Roman" w:cs="Times New Roman"/>
        </w:rPr>
      </w:pPr>
      <w:r w:rsidRPr="00A062C8">
        <w:rPr>
          <w:rFonts w:ascii="Rockwell" w:hAnsi="Rockwell" w:cs="Times New Roman"/>
          <w:noProof/>
          <w:rPrChange w:author="Skoy, Elizabeth" w:date="2026-08-11T11:46:00Z" w:id="146">
            <w:rPr>
              <w:rFonts w:ascii="Roboto" w:hAnsi="Roboto" w:cs="Times New Roman"/>
              <w:noProof/>
            </w:rPr>
          </w:rPrChange>
        </w:rPr>
        <w:drawing>
          <wp:anchor distT="0" distB="0" distL="114300" distR="114300" simplePos="0" relativeHeight="251658240" behindDoc="1" locked="0" layoutInCell="1" allowOverlap="1" wp14:anchorId="7B64F189" wp14:editId="4727757F">
            <wp:simplePos x="0" y="0"/>
            <wp:positionH relativeFrom="column">
              <wp:posOffset>2193290</wp:posOffset>
            </wp:positionH>
            <wp:positionV relativeFrom="paragraph">
              <wp:posOffset>26035</wp:posOffset>
            </wp:positionV>
            <wp:extent cx="4038744" cy="4448175"/>
            <wp:effectExtent l="19050" t="19050" r="1905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744" cy="4448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A062C8" w:rsidR="00B350B0" w:rsidP="00862217" w:rsidRDefault="00B350B0" w14:paraId="6C0B214E" w14:textId="7BC0F5BF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19EE67D9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6909F41E" w14:textId="3783B3B6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652C65C8" w14:textId="1CF93CD2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69FDE600" w14:textId="6F1E9035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1EB39812" w14:textId="35632CC6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53D2C7D0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2511F4" w:rsidP="00862217" w:rsidRDefault="002511F4" w14:paraId="4B7A3E17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2511F4" w:rsidP="00862217" w:rsidRDefault="002511F4" w14:paraId="48D94F09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2511F4" w:rsidP="00862217" w:rsidRDefault="002511F4" w14:paraId="20CE4E8A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6ABCC004" w14:textId="03D98AF5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5AA5A060" w14:textId="1531E464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55168802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4F43B8B4" w14:textId="705CE79F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672D2DB9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6EC254DB" w14:textId="48897646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60A6C005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334B2A43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731CFA8D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52B8B9FC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597C5C5F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2F38AEB5" w14:textId="506B7760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P="00862217" w:rsidRDefault="00B350B0" w14:paraId="2148BD6D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B350B0" w:rsidDel="003F5CE4" w:rsidP="00862217" w:rsidRDefault="00DE7921" w14:paraId="2D92C0BB" w14:textId="55CE55B7">
      <w:pPr>
        <w:spacing w:after="0" w:line="240" w:lineRule="auto"/>
        <w:rPr>
          <w:rFonts w:ascii="Rockwell" w:hAnsi="Rockwell" w:eastAsia="Times New Roman" w:cs="Times New Roman"/>
        </w:rPr>
      </w:pPr>
      <w:r w:rsidRPr="0372E3C8" w:rsidR="002511F4">
        <w:rPr>
          <w:rFonts w:ascii="Rockwell" w:hAnsi="Rockwell" w:eastAsia="Times New Roman" w:cs="Times New Roman"/>
        </w:rPr>
        <w:t xml:space="preserve">The pharmacist will </w:t>
      </w:r>
      <w:r w:rsidRPr="0372E3C8" w:rsidR="002511F4">
        <w:rPr>
          <w:rFonts w:ascii="Rockwell" w:hAnsi="Rockwell" w:eastAsia="Times New Roman" w:cs="Times New Roman"/>
        </w:rPr>
        <w:t>identify</w:t>
      </w:r>
      <w:r w:rsidRPr="0372E3C8" w:rsidR="002511F4">
        <w:rPr>
          <w:rFonts w:ascii="Rockwell" w:hAnsi="Rockwell" w:eastAsia="Times New Roman" w:cs="Times New Roman"/>
        </w:rPr>
        <w:t xml:space="preserve"> any precautions or contraindications to therapy prior to prescribing, and if </w:t>
      </w:r>
      <w:r w:rsidRPr="0372E3C8" w:rsidR="002511F4">
        <w:rPr>
          <w:rFonts w:ascii="Rockwell" w:hAnsi="Rockwell" w:eastAsia="Times New Roman" w:cs="Times New Roman"/>
        </w:rPr>
        <w:t>deemed</w:t>
      </w:r>
      <w:r w:rsidRPr="0372E3C8" w:rsidR="002511F4">
        <w:rPr>
          <w:rFonts w:ascii="Rockwell" w:hAnsi="Rockwell" w:eastAsia="Times New Roman" w:cs="Times New Roman"/>
        </w:rPr>
        <w:t xml:space="preserve"> </w:t>
      </w:r>
      <w:r w:rsidRPr="0372E3C8" w:rsidR="002511F4">
        <w:rPr>
          <w:rFonts w:ascii="Rockwell" w:hAnsi="Rockwell" w:eastAsia="Times New Roman" w:cs="Times New Roman"/>
        </w:rPr>
        <w:t>appropriate</w:t>
      </w:r>
      <w:r w:rsidRPr="0372E3C8" w:rsidR="002511F4">
        <w:rPr>
          <w:rFonts w:ascii="Rockwell" w:hAnsi="Rockwell" w:eastAsia="Times New Roman" w:cs="Times New Roman"/>
        </w:rPr>
        <w:t xml:space="preserve">, prescribe the most </w:t>
      </w:r>
      <w:r w:rsidRPr="0372E3C8" w:rsidR="002511F4">
        <w:rPr>
          <w:rFonts w:ascii="Rockwell" w:hAnsi="Rockwell" w:eastAsia="Times New Roman" w:cs="Times New Roman"/>
        </w:rPr>
        <w:t>appropriate treatment</w:t>
      </w:r>
      <w:r w:rsidRPr="0372E3C8" w:rsidR="002511F4">
        <w:rPr>
          <w:rFonts w:ascii="Rockwell" w:hAnsi="Rockwell" w:eastAsia="Times New Roman" w:cs="Times New Roman"/>
        </w:rPr>
        <w:t>.</w:t>
      </w:r>
    </w:p>
    <w:p w:rsidRPr="00A062C8" w:rsidR="002C4609" w:rsidP="00862217" w:rsidRDefault="002C4609" w14:paraId="203E0F7C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3060"/>
        <w:gridCol w:w="3145"/>
      </w:tblGrid>
      <w:tr w:rsidRPr="00A062C8" w:rsidR="0086595A" w:rsidTr="037C91BA" w14:paraId="0EFD5231" w14:textId="77777777">
        <w:tc>
          <w:tcPr>
            <w:tcW w:w="9350" w:type="dxa"/>
            <w:gridSpan w:val="3"/>
            <w:shd w:val="clear" w:color="auto" w:fill="D9D9D9" w:themeFill="background1" w:themeFillShade="D9"/>
            <w:tcMar/>
          </w:tcPr>
          <w:p w:rsidRPr="00A062C8" w:rsidR="0086595A" w:rsidP="00BE127B" w:rsidRDefault="00435157" w14:paraId="02804C57" w14:textId="50DECC19">
            <w:pPr>
              <w:jc w:val="center"/>
              <w:rPr>
                <w:rFonts w:ascii="Rockwell" w:hAnsi="Rockwell" w:cs="Times New Roman"/>
                <w:b w:val="1"/>
                <w:bCs w:val="1"/>
              </w:rPr>
            </w:pPr>
            <w:r w:rsidRPr="037C91BA" w:rsidR="0B885598">
              <w:rPr>
                <w:rFonts w:ascii="Rockwell" w:hAnsi="Rockwell" w:eastAsia="Times New Roman" w:cs="Times New Roman"/>
                <w:b w:val="1"/>
                <w:bCs w:val="1"/>
              </w:rPr>
              <w:t>Treatment</w:t>
            </w:r>
          </w:p>
        </w:tc>
      </w:tr>
      <w:tr w:rsidRPr="00A062C8" w:rsidR="009771E1" w:rsidTr="037C91BA" w14:paraId="6EF018B4" w14:textId="77777777">
        <w:tc>
          <w:tcPr>
            <w:tcW w:w="3145" w:type="dxa"/>
            <w:tcMar/>
          </w:tcPr>
          <w:p w:rsidRPr="00A062C8" w:rsidR="009771E1" w:rsidP="00BE127B" w:rsidRDefault="009771E1" w14:paraId="584941F2" w14:textId="21943DA4">
            <w:pPr>
              <w:jc w:val="center"/>
              <w:rPr>
                <w:rFonts w:ascii="Rockwell" w:hAnsi="Rockwell" w:eastAsia="Times New Roman" w:cs="Times New Roman"/>
                <w:b w:val="1"/>
                <w:bCs w:val="1"/>
              </w:rPr>
            </w:pPr>
            <w:r w:rsidRPr="037C91BA" w:rsidR="2FC8CF15">
              <w:rPr>
                <w:rFonts w:ascii="Rockwell" w:hAnsi="Rockwell" w:eastAsia="Times New Roman" w:cs="Times New Roman"/>
                <w:b w:val="1"/>
                <w:bCs w:val="1"/>
              </w:rPr>
              <w:t>Drug</w:t>
            </w:r>
          </w:p>
        </w:tc>
        <w:tc>
          <w:tcPr>
            <w:tcW w:w="3060" w:type="dxa"/>
            <w:tcMar/>
          </w:tcPr>
          <w:p w:rsidRPr="00A062C8" w:rsidR="009771E1" w:rsidP="00BE127B" w:rsidRDefault="009771E1" w14:paraId="0D73D548" w14:textId="2B085FF3">
            <w:pPr>
              <w:jc w:val="center"/>
              <w:rPr>
                <w:rFonts w:ascii="Rockwell" w:hAnsi="Rockwell" w:cs="Times New Roman"/>
                <w:b w:val="1"/>
                <w:bCs w:val="1"/>
                <w:color w:val="000000"/>
              </w:rPr>
            </w:pPr>
            <w:r w:rsidRPr="037C91BA" w:rsidR="2FC8CF15">
              <w:rPr>
                <w:rFonts w:ascii="Rockwell" w:hAnsi="Rockwell" w:cs="Times New Roman"/>
                <w:b w:val="1"/>
                <w:bCs w:val="1"/>
                <w:color w:val="000000" w:themeColor="text1" w:themeTint="FF" w:themeShade="FF"/>
              </w:rPr>
              <w:t>Dose</w:t>
            </w:r>
          </w:p>
        </w:tc>
        <w:tc>
          <w:tcPr>
            <w:tcW w:w="3145" w:type="dxa"/>
            <w:tcMar/>
          </w:tcPr>
          <w:p w:rsidRPr="00A062C8" w:rsidR="009771E1" w:rsidP="00BE127B" w:rsidRDefault="009771E1" w14:paraId="2FC9E201" w14:textId="4493646E">
            <w:pPr>
              <w:jc w:val="center"/>
              <w:rPr>
                <w:rFonts w:ascii="Rockwell" w:hAnsi="Rockwell" w:cs="Times New Roman"/>
                <w:b w:val="1"/>
                <w:bCs w:val="1"/>
              </w:rPr>
            </w:pPr>
            <w:r w:rsidRPr="037C91BA" w:rsidR="2FC8CF15">
              <w:rPr>
                <w:rFonts w:ascii="Rockwell" w:hAnsi="Rockwell" w:cs="Times New Roman"/>
                <w:b w:val="1"/>
                <w:bCs w:val="1"/>
              </w:rPr>
              <w:t>Duration</w:t>
            </w:r>
          </w:p>
        </w:tc>
      </w:tr>
      <w:tr w:rsidRPr="00A062C8" w:rsidR="0086595A" w:rsidTr="037C91BA" w14:paraId="4DC51254" w14:textId="77777777">
        <w:tc>
          <w:tcPr>
            <w:tcW w:w="3145" w:type="dxa"/>
            <w:tcMar/>
          </w:tcPr>
          <w:p w:rsidRPr="00A062C8" w:rsidR="0086595A" w:rsidP="00BE127B" w:rsidRDefault="002868C8" w14:paraId="2746D834" w14:textId="3AA08A97">
            <w:pPr>
              <w:jc w:val="center"/>
              <w:rPr>
                <w:rFonts w:ascii="Rockwell" w:hAnsi="Rockwell" w:cs="Times New Roman"/>
                <w:b w:val="1"/>
                <w:bCs w:val="1"/>
                <w:u w:val="single"/>
              </w:rPr>
            </w:pPr>
            <w:r w:rsidRPr="037C91BA" w:rsidR="0E37BB17">
              <w:rPr>
                <w:rFonts w:ascii="Rockwell" w:hAnsi="Rockwell" w:eastAsia="Times New Roman" w:cs="Times New Roman"/>
              </w:rPr>
              <w:t>nirmatrelvir</w:t>
            </w:r>
            <w:r w:rsidRPr="037C91BA" w:rsidR="0E37BB17">
              <w:rPr>
                <w:rFonts w:ascii="Rockwell" w:hAnsi="Rockwell" w:eastAsia="Times New Roman" w:cs="Times New Roman"/>
              </w:rPr>
              <w:t xml:space="preserve"> with ritonavir</w:t>
            </w:r>
          </w:p>
        </w:tc>
        <w:tc>
          <w:tcPr>
            <w:tcW w:w="3060" w:type="dxa"/>
            <w:tcMar/>
          </w:tcPr>
          <w:p w:rsidRPr="00A062C8" w:rsidR="0086595A" w:rsidP="00BE127B" w:rsidRDefault="00B72486" w14:paraId="63E1086C" w14:textId="2BCD1D6A">
            <w:pPr>
              <w:jc w:val="center"/>
              <w:rPr>
                <w:rFonts w:ascii="Rockwell" w:hAnsi="Rockwell" w:cs="Times New Roman"/>
                <w:b w:val="1"/>
                <w:bCs w:val="1"/>
                <w:u w:val="single"/>
              </w:rPr>
            </w:pPr>
            <w:r w:rsidRPr="037C91BA" w:rsidR="40784F37">
              <w:rPr>
                <w:rFonts w:ascii="Rockwell" w:hAnsi="Rockwell" w:cs="Times New Roman"/>
                <w:color w:val="000000" w:themeColor="text1" w:themeTint="FF" w:themeShade="FF"/>
              </w:rPr>
              <w:t>300 mg</w:t>
            </w:r>
            <w:r w:rsidRPr="037C91BA" w:rsidR="40784F37">
              <w:rPr>
                <w:rFonts w:ascii="Rockwell" w:hAnsi="Rockwell" w:cs="Times New Roman"/>
                <w:color w:val="000000" w:themeColor="text1" w:themeTint="FF" w:themeShade="FF"/>
              </w:rPr>
              <w:t xml:space="preserve"> </w:t>
            </w:r>
            <w:r w:rsidRPr="037C91BA" w:rsidR="40784F37">
              <w:rPr>
                <w:rFonts w:ascii="Rockwell" w:hAnsi="Rockwell" w:cs="Times New Roman"/>
                <w:color w:val="000000" w:themeColor="text1" w:themeTint="FF" w:themeShade="FF"/>
              </w:rPr>
              <w:t>nirmatrelvir</w:t>
            </w:r>
            <w:r w:rsidRPr="037C91BA" w:rsidR="40784F37">
              <w:rPr>
                <w:rFonts w:ascii="Rockwell" w:hAnsi="Rockwell" w:cs="Times New Roman"/>
                <w:color w:val="000000" w:themeColor="text1" w:themeTint="FF" w:themeShade="FF"/>
              </w:rPr>
              <w:t xml:space="preserve"> (two </w:t>
            </w:r>
            <w:r w:rsidRPr="037C91BA" w:rsidR="40784F37">
              <w:rPr>
                <w:rFonts w:ascii="Rockwell" w:hAnsi="Rockwell" w:cs="Times New Roman"/>
                <w:color w:val="000000" w:themeColor="text1" w:themeTint="FF" w:themeShade="FF"/>
              </w:rPr>
              <w:t>150 mg</w:t>
            </w:r>
            <w:r w:rsidRPr="037C91BA" w:rsidR="40784F37">
              <w:rPr>
                <w:rFonts w:ascii="Rockwell" w:hAnsi="Rockwell" w:cs="Times New Roman"/>
                <w:color w:val="000000" w:themeColor="text1" w:themeTint="FF" w:themeShade="FF"/>
              </w:rPr>
              <w:t xml:space="preserve"> tablets) with 100 mg ritonavir (one </w:t>
            </w:r>
            <w:r w:rsidRPr="037C91BA" w:rsidR="40784F37">
              <w:rPr>
                <w:rFonts w:ascii="Rockwell" w:hAnsi="Rockwell" w:cs="Times New Roman"/>
                <w:color w:val="000000" w:themeColor="text1" w:themeTint="FF" w:themeShade="FF"/>
              </w:rPr>
              <w:t>100 mg</w:t>
            </w:r>
            <w:r w:rsidRPr="037C91BA" w:rsidR="40784F37">
              <w:rPr>
                <w:rFonts w:ascii="Rockwell" w:hAnsi="Rockwell" w:cs="Times New Roman"/>
                <w:color w:val="000000" w:themeColor="text1" w:themeTint="FF" w:themeShade="FF"/>
              </w:rPr>
              <w:t xml:space="preserve"> tablet), with all 3 tablets taken together twice daily </w:t>
            </w:r>
          </w:p>
        </w:tc>
        <w:tc>
          <w:tcPr>
            <w:tcW w:w="3145" w:type="dxa"/>
            <w:tcMar/>
          </w:tcPr>
          <w:p w:rsidRPr="00A062C8" w:rsidR="0086595A" w:rsidP="00BE127B" w:rsidRDefault="007655A2" w14:paraId="4B0D06A7" w14:textId="7F8214BF">
            <w:pPr>
              <w:jc w:val="center"/>
              <w:rPr>
                <w:rFonts w:ascii="Rockwell" w:hAnsi="Rockwell" w:cs="Times New Roman"/>
                <w:b w:val="1"/>
                <w:bCs w:val="1"/>
                <w:u w:val="single"/>
              </w:rPr>
            </w:pPr>
            <w:r w:rsidRPr="037C91BA" w:rsidR="2115225E">
              <w:rPr>
                <w:rFonts w:ascii="Rockwell" w:hAnsi="Rockwell" w:cs="Times New Roman"/>
              </w:rPr>
              <w:t>5 Days</w:t>
            </w:r>
          </w:p>
        </w:tc>
      </w:tr>
      <w:tr w:rsidRPr="00A062C8" w:rsidR="005C3DF3" w:rsidTr="037C91BA" w14:paraId="7A565CA5" w14:textId="77777777">
        <w:tc>
          <w:tcPr>
            <w:tcW w:w="9350" w:type="dxa"/>
            <w:gridSpan w:val="3"/>
            <w:shd w:val="clear" w:color="auto" w:fill="D9D9D9" w:themeFill="background1" w:themeFillShade="D9"/>
            <w:tcMar/>
          </w:tcPr>
          <w:p w:rsidRPr="00A062C8" w:rsidR="005C3DF3" w:rsidP="00BE127B" w:rsidRDefault="000B09EC" w14:paraId="03B60E7C" w14:textId="3D6F0F2E">
            <w:pPr>
              <w:jc w:val="center"/>
              <w:rPr>
                <w:rFonts w:ascii="Rockwell" w:hAnsi="Rockwell" w:cs="Times New Roman"/>
                <w:b w:val="1"/>
                <w:bCs w:val="1"/>
              </w:rPr>
            </w:pPr>
            <w:r w:rsidRPr="037C91BA" w:rsidR="6F012FF3">
              <w:rPr>
                <w:rStyle w:val="bold"/>
                <w:rFonts w:ascii="Rockwell" w:hAnsi="Rockwell" w:cs="Times New Roman"/>
                <w:b w:val="1"/>
                <w:bCs w:val="1"/>
                <w:color w:val="000000" w:themeColor="text1" w:themeTint="FF" w:themeShade="FF"/>
              </w:rPr>
              <w:t>Dose reduction for moderate renal impairment (eGFR ≥30 to &lt;60 mL/min)</w:t>
            </w:r>
            <w:r w:rsidRPr="037C91BA" w:rsidR="6F012FF3">
              <w:rPr>
                <w:rFonts w:ascii="Rockwell" w:hAnsi="Rockwell" w:cs="Times New Roman"/>
                <w:b w:val="1"/>
                <w:bCs w:val="1"/>
                <w:color w:val="000000" w:themeColor="text1" w:themeTint="FF" w:themeShade="FF"/>
              </w:rPr>
              <w:t>:</w:t>
            </w:r>
          </w:p>
        </w:tc>
      </w:tr>
      <w:tr w:rsidRPr="00A062C8" w:rsidR="005E657A" w:rsidTr="037C91BA" w14:paraId="2D30C5C3" w14:textId="77777777">
        <w:tc>
          <w:tcPr>
            <w:tcW w:w="3145" w:type="dxa"/>
            <w:tcMar/>
          </w:tcPr>
          <w:p w:rsidRPr="00A062C8" w:rsidR="005E657A" w:rsidP="005E657A" w:rsidRDefault="005E657A" w14:paraId="5E2D2F95" w14:textId="014A3899">
            <w:pPr>
              <w:jc w:val="center"/>
              <w:rPr>
                <w:rFonts w:ascii="Rockwell" w:hAnsi="Rockwell" w:cs="Times New Roman"/>
                <w:b w:val="1"/>
                <w:bCs w:val="1"/>
              </w:rPr>
            </w:pPr>
            <w:r w:rsidRPr="037C91BA" w:rsidR="60AC1682">
              <w:rPr>
                <w:rFonts w:ascii="Rockwell" w:hAnsi="Rockwell" w:eastAsia="Times New Roman" w:cs="Times New Roman"/>
                <w:b w:val="1"/>
                <w:bCs w:val="1"/>
              </w:rPr>
              <w:t>Drug</w:t>
            </w:r>
          </w:p>
        </w:tc>
        <w:tc>
          <w:tcPr>
            <w:tcW w:w="3060" w:type="dxa"/>
            <w:tcMar/>
          </w:tcPr>
          <w:p w:rsidRPr="00A062C8" w:rsidR="005E657A" w:rsidP="005E657A" w:rsidRDefault="005E657A" w14:paraId="06875AE6" w14:textId="5487E886">
            <w:pPr>
              <w:jc w:val="center"/>
              <w:rPr>
                <w:rFonts w:ascii="Rockwell" w:hAnsi="Rockwell" w:cs="Times New Roman"/>
                <w:b w:val="1"/>
                <w:bCs w:val="1"/>
              </w:rPr>
            </w:pPr>
            <w:r w:rsidRPr="037C91BA" w:rsidR="60AC1682">
              <w:rPr>
                <w:rFonts w:ascii="Rockwell" w:hAnsi="Rockwell" w:cs="Times New Roman"/>
                <w:b w:val="1"/>
                <w:bCs w:val="1"/>
                <w:color w:val="000000" w:themeColor="text1" w:themeTint="FF" w:themeShade="FF"/>
              </w:rPr>
              <w:t>Dose</w:t>
            </w:r>
          </w:p>
        </w:tc>
        <w:tc>
          <w:tcPr>
            <w:tcW w:w="3145" w:type="dxa"/>
            <w:tcMar/>
          </w:tcPr>
          <w:p w:rsidRPr="00A062C8" w:rsidR="005E657A" w:rsidP="005E657A" w:rsidRDefault="005E657A" w14:paraId="11B6CF06" w14:textId="259DB725">
            <w:pPr>
              <w:jc w:val="center"/>
              <w:rPr>
                <w:rFonts w:ascii="Rockwell" w:hAnsi="Rockwell" w:cs="Times New Roman"/>
                <w:b w:val="1"/>
                <w:bCs w:val="1"/>
              </w:rPr>
            </w:pPr>
            <w:r w:rsidRPr="037C91BA" w:rsidR="60AC1682">
              <w:rPr>
                <w:rFonts w:ascii="Rockwell" w:hAnsi="Rockwell" w:cs="Times New Roman"/>
                <w:b w:val="1"/>
                <w:bCs w:val="1"/>
              </w:rPr>
              <w:t>Duration</w:t>
            </w:r>
          </w:p>
        </w:tc>
      </w:tr>
      <w:tr w:rsidRPr="00A062C8" w:rsidR="005E657A" w:rsidTr="037C91BA" w14:paraId="6EB595E7" w14:textId="77777777">
        <w:tc>
          <w:tcPr>
            <w:tcW w:w="3145" w:type="dxa"/>
            <w:tcMar/>
          </w:tcPr>
          <w:p w:rsidRPr="00A062C8" w:rsidR="005E657A" w:rsidP="005E657A" w:rsidRDefault="005E657A" w14:paraId="431FA69A" w14:textId="1D4CC9A7">
            <w:pPr>
              <w:jc w:val="center"/>
              <w:rPr>
                <w:rFonts w:ascii="Rockwell" w:hAnsi="Rockwell" w:cs="Times New Roman"/>
              </w:rPr>
            </w:pPr>
            <w:r w:rsidRPr="037C91BA" w:rsidR="60AC1682">
              <w:rPr>
                <w:rFonts w:ascii="Rockwell" w:hAnsi="Rockwell" w:eastAsia="Times New Roman" w:cs="Times New Roman"/>
              </w:rPr>
              <w:t>nirmatrelvir</w:t>
            </w:r>
            <w:r w:rsidRPr="037C91BA" w:rsidR="60AC1682">
              <w:rPr>
                <w:rFonts w:ascii="Rockwell" w:hAnsi="Rockwell" w:eastAsia="Times New Roman" w:cs="Times New Roman"/>
              </w:rPr>
              <w:t xml:space="preserve"> with ritonavir</w:t>
            </w:r>
          </w:p>
        </w:tc>
        <w:tc>
          <w:tcPr>
            <w:tcW w:w="3060" w:type="dxa"/>
            <w:tcMar/>
          </w:tcPr>
          <w:p w:rsidRPr="00A062C8" w:rsidR="005E657A" w:rsidP="005E657A" w:rsidRDefault="00E02431" w14:paraId="304736D7" w14:textId="38AA1734">
            <w:pPr>
              <w:jc w:val="center"/>
              <w:rPr>
                <w:rFonts w:ascii="Rockwell" w:hAnsi="Rockwell" w:cs="Times New Roman"/>
              </w:rPr>
            </w:pPr>
            <w:r w:rsidRPr="037C91BA" w:rsidR="6ACA9E1C">
              <w:rPr>
                <w:rFonts w:ascii="Rockwell" w:hAnsi="Rockwell" w:cs="Times New Roman"/>
                <w:color w:val="000000" w:themeColor="text1" w:themeTint="FF" w:themeShade="FF"/>
              </w:rPr>
              <w:t xml:space="preserve">150 mg </w:t>
            </w:r>
            <w:r w:rsidRPr="037C91BA" w:rsidR="6ACA9E1C">
              <w:rPr>
                <w:rFonts w:ascii="Rockwell" w:hAnsi="Rockwell" w:cs="Times New Roman"/>
                <w:color w:val="000000" w:themeColor="text1" w:themeTint="FF" w:themeShade="FF"/>
              </w:rPr>
              <w:t>nirmatrelvir</w:t>
            </w:r>
            <w:r w:rsidRPr="037C91BA" w:rsidR="6ACA9E1C">
              <w:rPr>
                <w:rFonts w:ascii="Rockwell" w:hAnsi="Rockwell" w:cs="Times New Roman"/>
                <w:color w:val="000000" w:themeColor="text1" w:themeTint="FF" w:themeShade="FF"/>
              </w:rPr>
              <w:t xml:space="preserve"> (one </w:t>
            </w:r>
            <w:r w:rsidRPr="037C91BA" w:rsidR="6ACA9E1C">
              <w:rPr>
                <w:rFonts w:ascii="Rockwell" w:hAnsi="Rockwell" w:cs="Times New Roman"/>
                <w:color w:val="000000" w:themeColor="text1" w:themeTint="FF" w:themeShade="FF"/>
              </w:rPr>
              <w:t>150 mg</w:t>
            </w:r>
            <w:r w:rsidRPr="037C91BA" w:rsidR="6ACA9E1C">
              <w:rPr>
                <w:rFonts w:ascii="Rockwell" w:hAnsi="Rockwell" w:cs="Times New Roman"/>
                <w:color w:val="000000" w:themeColor="text1" w:themeTint="FF" w:themeShade="FF"/>
              </w:rPr>
              <w:t xml:space="preserve"> tablet) with 100 mg ritonavir (one </w:t>
            </w:r>
            <w:r w:rsidRPr="037C91BA" w:rsidR="6ACA9E1C">
              <w:rPr>
                <w:rFonts w:ascii="Rockwell" w:hAnsi="Rockwell" w:cs="Times New Roman"/>
                <w:color w:val="000000" w:themeColor="text1" w:themeTint="FF" w:themeShade="FF"/>
              </w:rPr>
              <w:t>100 mg</w:t>
            </w:r>
            <w:r w:rsidRPr="037C91BA" w:rsidR="6ACA9E1C">
              <w:rPr>
                <w:rFonts w:ascii="Rockwell" w:hAnsi="Rockwell" w:cs="Times New Roman"/>
                <w:color w:val="000000" w:themeColor="text1" w:themeTint="FF" w:themeShade="FF"/>
              </w:rPr>
              <w:t xml:space="preserve"> tablet), taken together twice daily</w:t>
            </w:r>
          </w:p>
        </w:tc>
        <w:tc>
          <w:tcPr>
            <w:tcW w:w="3145" w:type="dxa"/>
            <w:tcMar/>
          </w:tcPr>
          <w:p w:rsidRPr="00A062C8" w:rsidR="005E657A" w:rsidP="005E657A" w:rsidRDefault="00E02431" w14:paraId="370FA83A" w14:textId="61366EDC">
            <w:pPr>
              <w:jc w:val="center"/>
              <w:rPr>
                <w:rFonts w:ascii="Rockwell" w:hAnsi="Rockwell" w:cs="Times New Roman"/>
              </w:rPr>
            </w:pPr>
            <w:r w:rsidRPr="037C91BA" w:rsidR="6ACA9E1C">
              <w:rPr>
                <w:rFonts w:ascii="Rockwell" w:hAnsi="Rockwell" w:cs="Times New Roman"/>
              </w:rPr>
              <w:t>5 Days</w:t>
            </w:r>
          </w:p>
        </w:tc>
      </w:tr>
    </w:tbl>
    <w:p w:rsidRPr="00A062C8" w:rsidR="00DE7921" w:rsidP="00862217" w:rsidRDefault="00DE7921" w14:paraId="68AF4AEA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p w:rsidRPr="00A062C8" w:rsidR="00F40DB4" w:rsidP="00F40DB4" w:rsidRDefault="00F40DB4" w14:paraId="0C05D714" w14:textId="77777777">
      <w:pPr>
        <w:spacing w:after="0" w:line="240" w:lineRule="auto"/>
        <w:rPr>
          <w:rFonts w:ascii="Rockwell" w:hAnsi="Rockwell" w:cs="Times New Roman"/>
        </w:rPr>
      </w:pPr>
      <w:r w:rsidRPr="037C91BA" w:rsidR="00F40DB4">
        <w:rPr>
          <w:rFonts w:ascii="Rockwell" w:hAnsi="Rockwell" w:cs="Times New Roman"/>
          <w:b w:val="1"/>
          <w:bCs w:val="1"/>
        </w:rPr>
        <w:t>FOLLOW-UP</w:t>
      </w:r>
    </w:p>
    <w:p w:rsidRPr="00A062C8" w:rsidR="00F40DB4" w:rsidP="00862217" w:rsidRDefault="00235075" w14:paraId="4D247E15" w14:textId="1FC6A574">
      <w:pPr>
        <w:spacing w:after="0" w:line="240" w:lineRule="auto"/>
        <w:rPr>
          <w:rFonts w:ascii="Rockwell" w:hAnsi="Rockwell"/>
        </w:rPr>
      </w:pPr>
      <w:r w:rsidRPr="037C91BA" w:rsidR="00235075">
        <w:rPr>
          <w:rFonts w:ascii="Rockwell" w:hAnsi="Rockwell" w:cs="Times New Roman"/>
        </w:rPr>
        <w:t xml:space="preserve">The patient should be instructed to contact the pharmacy if symptoms do not improve within </w:t>
      </w:r>
      <w:r w:rsidRPr="037C91BA" w:rsidR="00235075">
        <w:rPr>
          <w:rFonts w:ascii="Rockwell" w:hAnsi="Rockwell" w:cs="Times New Roman"/>
        </w:rPr>
        <w:t>48 hours</w:t>
      </w:r>
      <w:r w:rsidRPr="037C91BA" w:rsidR="00235075">
        <w:rPr>
          <w:rFonts w:ascii="Rockwell" w:hAnsi="Rockwell" w:cs="Times New Roman"/>
        </w:rPr>
        <w:t xml:space="preserve"> or if symptoms worsen, so the pharmacist can refer the patient for further medical evaluation.</w:t>
      </w:r>
      <w:r w:rsidRPr="037C91BA" w:rsidR="00235075">
        <w:rPr>
          <w:rFonts w:ascii="Rockwell" w:hAnsi="Rockwell" w:cs="Times New Roman"/>
        </w:rPr>
        <w:t xml:space="preserve"> If a prescription is provided, and a primary care provider is </w:t>
      </w:r>
      <w:r w:rsidRPr="037C91BA" w:rsidR="00235075">
        <w:rPr>
          <w:rFonts w:ascii="Rockwell" w:hAnsi="Rockwell" w:cs="Times New Roman"/>
        </w:rPr>
        <w:t>identified</w:t>
      </w:r>
      <w:r w:rsidRPr="037C91BA" w:rsidR="00235075">
        <w:rPr>
          <w:rFonts w:ascii="Rockwell" w:hAnsi="Rockwell" w:cs="Times New Roman"/>
        </w:rPr>
        <w:t xml:space="preserve">, the pharmacy will notify the provider of record within three business days following the </w:t>
      </w:r>
      <w:r w:rsidRPr="037C91BA" w:rsidR="00235075">
        <w:rPr>
          <w:rFonts w:ascii="Rockwell" w:hAnsi="Rockwell" w:cs="Times New Roman"/>
        </w:rPr>
        <w:t>patient</w:t>
      </w:r>
      <w:r w:rsidRPr="037C91BA" w:rsidR="00235075">
        <w:rPr>
          <w:rFonts w:ascii="Rockwell" w:hAnsi="Rockwell" w:cs="Times New Roman"/>
        </w:rPr>
        <w:t xml:space="preserve"> encounter.</w:t>
      </w:r>
    </w:p>
    <w:p w:rsidRPr="00A062C8" w:rsidR="0E1C9032" w:rsidP="0E1C9032" w:rsidRDefault="0E1C9032" w14:paraId="03B8502E" w14:textId="598C4922">
      <w:pPr>
        <w:spacing w:after="0" w:line="240" w:lineRule="auto"/>
        <w:rPr>
          <w:rFonts w:ascii="Rockwell" w:hAnsi="Rockwell" w:cs="Times New Roman"/>
        </w:rPr>
      </w:pPr>
    </w:p>
    <w:p w:rsidRPr="003F5CE4" w:rsidR="716F35F2" w:rsidP="037C91BA" w:rsidRDefault="716F35F2" w14:paraId="246DD82F" w14:textId="4DBEC370">
      <w:pPr>
        <w:pStyle w:val="Normal"/>
        <w:spacing w:after="0" w:line="240" w:lineRule="auto"/>
        <w:rPr>
          <w:rFonts w:ascii="Rockwell" w:hAnsi="Rockwell" w:eastAsia="Arial" w:cs="Arial"/>
          <w:i w:val="1"/>
          <w:iCs w:val="1"/>
          <w:color w:val="000000" w:themeColor="text1" w:themeTint="FF" w:themeShade="FF"/>
          <w:sz w:val="16"/>
          <w:szCs w:val="16"/>
        </w:rPr>
      </w:pPr>
      <w:r w:rsidRPr="037C91BA" w:rsidR="716F35F2">
        <w:rPr>
          <w:rFonts w:ascii="Rockwell" w:hAnsi="Rockwell" w:eastAsia="Arial" w:cs="Arial"/>
          <w:i w:val="1"/>
          <w:iCs w:val="1"/>
          <w:color w:val="000000" w:themeColor="text1" w:themeTint="FF" w:themeShade="FF"/>
          <w:sz w:val="16"/>
          <w:szCs w:val="16"/>
        </w:rPr>
        <w:t xml:space="preserve">IDSA guidelines on the treatment and management of patients with COVID-19. </w:t>
      </w:r>
      <w:r w:rsidRPr="037C91BA" w:rsidR="716F35F2">
        <w:rPr>
          <w:rFonts w:ascii="Rockwell" w:hAnsi="Rockwell" w:eastAsia="Arial" w:cs="Arial"/>
          <w:i w:val="1"/>
          <w:iCs w:val="1"/>
          <w:color w:val="000000" w:themeColor="text1" w:themeTint="FF" w:themeShade="FF"/>
          <w:sz w:val="16"/>
          <w:szCs w:val="16"/>
        </w:rPr>
        <w:t xml:space="preserve">October 14, 2025. </w:t>
      </w:r>
    </w:p>
    <w:sectPr w:rsidRPr="003F5CE4" w:rsidR="716F35F2" w:rsidSect="00DC7DA7">
      <w:footerReference w:type="default" r:id="rId11"/>
      <w:pgSz w:w="12240" w:h="15840" w:orient="portrait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1543" w:rsidP="005B36E4" w:rsidRDefault="00BB1543" w14:paraId="036FA6C7" w14:textId="77777777">
      <w:pPr>
        <w:spacing w:after="0" w:line="240" w:lineRule="auto"/>
      </w:pPr>
      <w:r>
        <w:separator/>
      </w:r>
    </w:p>
  </w:endnote>
  <w:endnote w:type="continuationSeparator" w:id="0">
    <w:p w:rsidR="00BB1543" w:rsidP="005B36E4" w:rsidRDefault="00BB1543" w14:paraId="4150383C" w14:textId="77777777">
      <w:pPr>
        <w:spacing w:after="0" w:line="240" w:lineRule="auto"/>
      </w:pPr>
      <w:r>
        <w:continuationSeparator/>
      </w:r>
    </w:p>
  </w:endnote>
  <w:endnote w:type="continuationNotice" w:id="1">
    <w:p w:rsidR="00BB1543" w:rsidRDefault="00BB1543" w14:paraId="76EB2D8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176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E324E" w:rsidP="00EE324E" w:rsidRDefault="00EE324E" w14:paraId="59C86DEB" w14:textId="6663EC8E">
            <w:pPr>
              <w:pStyle w:val="Footer"/>
              <w:jc w:val="right"/>
            </w:pPr>
          </w:p>
          <w:p w:rsidR="005B36E4" w:rsidRDefault="003F5CE4" w14:paraId="1982FFE2" w14:textId="1A6AE12F">
            <w:pPr>
              <w:pStyle w:val="Footer"/>
              <w:jc w:val="right"/>
            </w:pPr>
          </w:p>
        </w:sdtContent>
      </w:sdt>
    </w:sdtContent>
  </w:sdt>
  <w:p w:rsidR="005B36E4" w:rsidRDefault="005B36E4" w14:paraId="36E2E8D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1543" w:rsidP="005B36E4" w:rsidRDefault="00BB1543" w14:paraId="709612F0" w14:textId="77777777">
      <w:pPr>
        <w:spacing w:after="0" w:line="240" w:lineRule="auto"/>
      </w:pPr>
      <w:r>
        <w:separator/>
      </w:r>
    </w:p>
  </w:footnote>
  <w:footnote w:type="continuationSeparator" w:id="0">
    <w:p w:rsidR="00BB1543" w:rsidP="005B36E4" w:rsidRDefault="00BB1543" w14:paraId="5BF915C0" w14:textId="77777777">
      <w:pPr>
        <w:spacing w:after="0" w:line="240" w:lineRule="auto"/>
      </w:pPr>
      <w:r>
        <w:continuationSeparator/>
      </w:r>
    </w:p>
  </w:footnote>
  <w:footnote w:type="continuationNotice" w:id="1">
    <w:p w:rsidR="00BB1543" w:rsidRDefault="00BB1543" w14:paraId="707DE987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41231"/>
    <w:multiLevelType w:val="hybridMultilevel"/>
    <w:tmpl w:val="D1D0D6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D836284"/>
    <w:multiLevelType w:val="hybridMultilevel"/>
    <w:tmpl w:val="86DE74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E4"/>
    <w:rsid w:val="000370AD"/>
    <w:rsid w:val="00042E29"/>
    <w:rsid w:val="00050F91"/>
    <w:rsid w:val="00066FD0"/>
    <w:rsid w:val="000844B6"/>
    <w:rsid w:val="000A7D3B"/>
    <w:rsid w:val="000B09EC"/>
    <w:rsid w:val="000C319D"/>
    <w:rsid w:val="00157934"/>
    <w:rsid w:val="00235075"/>
    <w:rsid w:val="00250FD9"/>
    <w:rsid w:val="002511F4"/>
    <w:rsid w:val="00272FC2"/>
    <w:rsid w:val="002868C8"/>
    <w:rsid w:val="00292CBA"/>
    <w:rsid w:val="002B6B19"/>
    <w:rsid w:val="002C4609"/>
    <w:rsid w:val="002E7849"/>
    <w:rsid w:val="002F2683"/>
    <w:rsid w:val="00333E7C"/>
    <w:rsid w:val="00352B3A"/>
    <w:rsid w:val="003564C8"/>
    <w:rsid w:val="003944CC"/>
    <w:rsid w:val="003B37BA"/>
    <w:rsid w:val="003D4AD2"/>
    <w:rsid w:val="003F5CE4"/>
    <w:rsid w:val="0040622A"/>
    <w:rsid w:val="0041253D"/>
    <w:rsid w:val="00414C33"/>
    <w:rsid w:val="00435157"/>
    <w:rsid w:val="00452094"/>
    <w:rsid w:val="004D141F"/>
    <w:rsid w:val="004D66DB"/>
    <w:rsid w:val="004E1D00"/>
    <w:rsid w:val="004E24DD"/>
    <w:rsid w:val="004E3D41"/>
    <w:rsid w:val="005040CA"/>
    <w:rsid w:val="005100B3"/>
    <w:rsid w:val="00512EC9"/>
    <w:rsid w:val="0051643C"/>
    <w:rsid w:val="00535DE1"/>
    <w:rsid w:val="005550C5"/>
    <w:rsid w:val="005A3CE4"/>
    <w:rsid w:val="005A65D1"/>
    <w:rsid w:val="005B36E4"/>
    <w:rsid w:val="005C3DF3"/>
    <w:rsid w:val="005D52CB"/>
    <w:rsid w:val="005E657A"/>
    <w:rsid w:val="005F5E7B"/>
    <w:rsid w:val="00600EA8"/>
    <w:rsid w:val="006035D9"/>
    <w:rsid w:val="00640E57"/>
    <w:rsid w:val="00654CC9"/>
    <w:rsid w:val="006568DD"/>
    <w:rsid w:val="00682B40"/>
    <w:rsid w:val="006A6BE5"/>
    <w:rsid w:val="006B3240"/>
    <w:rsid w:val="006B4536"/>
    <w:rsid w:val="006F7764"/>
    <w:rsid w:val="007236C9"/>
    <w:rsid w:val="007427C3"/>
    <w:rsid w:val="00743E25"/>
    <w:rsid w:val="007655A2"/>
    <w:rsid w:val="00767EAE"/>
    <w:rsid w:val="00792FAB"/>
    <w:rsid w:val="007959C9"/>
    <w:rsid w:val="007A687D"/>
    <w:rsid w:val="007B2414"/>
    <w:rsid w:val="007C3772"/>
    <w:rsid w:val="007D7DA9"/>
    <w:rsid w:val="008329A0"/>
    <w:rsid w:val="00862217"/>
    <w:rsid w:val="0086595A"/>
    <w:rsid w:val="008926BB"/>
    <w:rsid w:val="008B66FD"/>
    <w:rsid w:val="008C04AB"/>
    <w:rsid w:val="008D3EED"/>
    <w:rsid w:val="008D4A43"/>
    <w:rsid w:val="00952257"/>
    <w:rsid w:val="00955B43"/>
    <w:rsid w:val="009771E1"/>
    <w:rsid w:val="00985DEE"/>
    <w:rsid w:val="009B12C6"/>
    <w:rsid w:val="009C23B4"/>
    <w:rsid w:val="009E393E"/>
    <w:rsid w:val="00A062C8"/>
    <w:rsid w:val="00A17C6E"/>
    <w:rsid w:val="00A413B2"/>
    <w:rsid w:val="00A81A9D"/>
    <w:rsid w:val="00A82EC6"/>
    <w:rsid w:val="00A90ACC"/>
    <w:rsid w:val="00AB2C83"/>
    <w:rsid w:val="00AE3E8F"/>
    <w:rsid w:val="00AE4EA1"/>
    <w:rsid w:val="00B00F73"/>
    <w:rsid w:val="00B23158"/>
    <w:rsid w:val="00B350B0"/>
    <w:rsid w:val="00B72486"/>
    <w:rsid w:val="00B74D98"/>
    <w:rsid w:val="00B77A9D"/>
    <w:rsid w:val="00B82C73"/>
    <w:rsid w:val="00B847BA"/>
    <w:rsid w:val="00BA4DB7"/>
    <w:rsid w:val="00BB1543"/>
    <w:rsid w:val="00BE1F46"/>
    <w:rsid w:val="00C2773D"/>
    <w:rsid w:val="00C30DEA"/>
    <w:rsid w:val="00C90E52"/>
    <w:rsid w:val="00CB110B"/>
    <w:rsid w:val="00CC0480"/>
    <w:rsid w:val="00CC775D"/>
    <w:rsid w:val="00CD5275"/>
    <w:rsid w:val="00D07154"/>
    <w:rsid w:val="00D222CA"/>
    <w:rsid w:val="00D2254A"/>
    <w:rsid w:val="00D47A28"/>
    <w:rsid w:val="00D508CF"/>
    <w:rsid w:val="00D61DB8"/>
    <w:rsid w:val="00D63B95"/>
    <w:rsid w:val="00D905E0"/>
    <w:rsid w:val="00D91780"/>
    <w:rsid w:val="00DC7DA7"/>
    <w:rsid w:val="00DE7921"/>
    <w:rsid w:val="00E02431"/>
    <w:rsid w:val="00E35938"/>
    <w:rsid w:val="00E4465F"/>
    <w:rsid w:val="00E54510"/>
    <w:rsid w:val="00E73E90"/>
    <w:rsid w:val="00E922FC"/>
    <w:rsid w:val="00EB2FC0"/>
    <w:rsid w:val="00EB3B89"/>
    <w:rsid w:val="00EB705B"/>
    <w:rsid w:val="00EC5400"/>
    <w:rsid w:val="00EE324E"/>
    <w:rsid w:val="00EF57A5"/>
    <w:rsid w:val="00F06A8A"/>
    <w:rsid w:val="00F40DB4"/>
    <w:rsid w:val="00F4577E"/>
    <w:rsid w:val="00F70F98"/>
    <w:rsid w:val="00FA1F65"/>
    <w:rsid w:val="00FC11B9"/>
    <w:rsid w:val="00FC4B6B"/>
    <w:rsid w:val="00FC7DCB"/>
    <w:rsid w:val="00FE7647"/>
    <w:rsid w:val="00FF387A"/>
    <w:rsid w:val="00FF57D1"/>
    <w:rsid w:val="021BBE79"/>
    <w:rsid w:val="0372E3C8"/>
    <w:rsid w:val="037C91BA"/>
    <w:rsid w:val="04636E6B"/>
    <w:rsid w:val="06881E9C"/>
    <w:rsid w:val="0B885598"/>
    <w:rsid w:val="0E1C9032"/>
    <w:rsid w:val="0E2763C9"/>
    <w:rsid w:val="0E37BB17"/>
    <w:rsid w:val="149142FA"/>
    <w:rsid w:val="154DC84E"/>
    <w:rsid w:val="1580BE92"/>
    <w:rsid w:val="1C9DF570"/>
    <w:rsid w:val="209211F9"/>
    <w:rsid w:val="2115225E"/>
    <w:rsid w:val="2423FF86"/>
    <w:rsid w:val="267E7ABF"/>
    <w:rsid w:val="277DAE08"/>
    <w:rsid w:val="2A2E8093"/>
    <w:rsid w:val="2FC8CF15"/>
    <w:rsid w:val="33EFDC4E"/>
    <w:rsid w:val="36C709AB"/>
    <w:rsid w:val="3731E53B"/>
    <w:rsid w:val="395D6FFE"/>
    <w:rsid w:val="3A66EE5E"/>
    <w:rsid w:val="3C01D7CE"/>
    <w:rsid w:val="3D18F30F"/>
    <w:rsid w:val="40784F37"/>
    <w:rsid w:val="49093F6B"/>
    <w:rsid w:val="4C776073"/>
    <w:rsid w:val="5080604A"/>
    <w:rsid w:val="50984E53"/>
    <w:rsid w:val="5452AF1E"/>
    <w:rsid w:val="5545E295"/>
    <w:rsid w:val="59FF112F"/>
    <w:rsid w:val="60AC1682"/>
    <w:rsid w:val="62B286AD"/>
    <w:rsid w:val="64666CA2"/>
    <w:rsid w:val="64E9ADC6"/>
    <w:rsid w:val="6536AA30"/>
    <w:rsid w:val="66BB73D3"/>
    <w:rsid w:val="697AD327"/>
    <w:rsid w:val="6ACA9E1C"/>
    <w:rsid w:val="6AFAB59E"/>
    <w:rsid w:val="6F012FF3"/>
    <w:rsid w:val="6FF7D082"/>
    <w:rsid w:val="716F35F2"/>
    <w:rsid w:val="720E604A"/>
    <w:rsid w:val="75DE1B8A"/>
    <w:rsid w:val="763B87CF"/>
    <w:rsid w:val="7D222BA3"/>
    <w:rsid w:val="7D83B3AD"/>
    <w:rsid w:val="7F16E85C"/>
    <w:rsid w:val="7FB88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F60C"/>
  <w15:chartTrackingRefBased/>
  <w15:docId w15:val="{C31A6165-3E50-4A26-8C93-10AC5CE0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3CE4"/>
  </w:style>
  <w:style w:type="paragraph" w:styleId="Heading1">
    <w:name w:val="heading 1"/>
    <w:basedOn w:val="Normal"/>
    <w:link w:val="Heading1Char"/>
    <w:uiPriority w:val="9"/>
    <w:qFormat/>
    <w:rsid w:val="002C460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CE4"/>
    <w:pPr>
      <w:ind w:left="720"/>
      <w:contextualSpacing/>
    </w:pPr>
  </w:style>
  <w:style w:type="table" w:styleId="TableGrid">
    <w:name w:val="Table Grid"/>
    <w:basedOn w:val="TableNormal"/>
    <w:uiPriority w:val="39"/>
    <w:rsid w:val="005A3C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36E4"/>
  </w:style>
  <w:style w:type="paragraph" w:styleId="Footer">
    <w:name w:val="footer"/>
    <w:basedOn w:val="Normal"/>
    <w:link w:val="Foot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36E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C4609"/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character" w:styleId="bold" w:customStyle="1">
    <w:name w:val="bold"/>
    <w:basedOn w:val="DefaultParagraphFont"/>
    <w:rsid w:val="000B0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6A7E976A8341A081E34C6DD47713" ma:contentTypeVersion="9" ma:contentTypeDescription="Create a new document." ma:contentTypeScope="" ma:versionID="9f772e79d6c94deabf7eaeaa3a0130c5">
  <xsd:schema xmlns:xsd="http://www.w3.org/2001/XMLSchema" xmlns:xs="http://www.w3.org/2001/XMLSchema" xmlns:p="http://schemas.microsoft.com/office/2006/metadata/properties" xmlns:ns2="e6712ebb-a822-4a52-86d6-3a4909ca7b79" targetNamespace="http://schemas.microsoft.com/office/2006/metadata/properties" ma:root="true" ma:fieldsID="1bc8a119692ef854c77c1598470f98ac" ns2:_="">
    <xsd:import namespace="e6712ebb-a822-4a52-86d6-3a4909ca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12ebb-a822-4a52-86d6-3a4909ca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12ebb-a822-4a52-86d6-3a4909ca7b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5F2AEF-1580-41B4-A858-97D08CDCB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1AD5D-7876-4074-BC00-2ED4601772C9}"/>
</file>

<file path=customXml/itemProps3.xml><?xml version="1.0" encoding="utf-8"?>
<ds:datastoreItem xmlns:ds="http://schemas.openxmlformats.org/officeDocument/2006/customXml" ds:itemID="{4703BD17-C4E1-408C-B4C3-B9F72DD17CE4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Rachelle Schlieve</dc:creator>
  <keywords/>
  <dc:description/>
  <lastModifiedBy>Nagel, Lisa</lastModifiedBy>
  <revision>46</revision>
  <dcterms:created xsi:type="dcterms:W3CDTF">2026-07-09T16:26:00.0000000Z</dcterms:created>
  <dcterms:modified xsi:type="dcterms:W3CDTF">2026-10-13T15:16:20.5166532Z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0x01010006536A7E976A8341A081E34C6DD47713</vt:lpwstr>
  </property>
  <property fmtid="{D5CDD505-2E9C-101B-9397-08002B2CF9AE}" pid="3" name="MediaServiceImageTags">
    <vt:lpwstr/>
  </property>
</Properties>
</file>